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6648290.xml.htm"/>
      <w:bookmarkStart w:id="1" w:name="kswkform4_17466482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Foster Christopher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LOUISIANA</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CENTERPOINT ENERGY INC</w:t>
              </w:r>
            </w:hyperlink>
            <w:r>
              <w:rPr/>
              <w:t xml:space="preserve"> [ </w:t>
            </w:r>
            <w:r>
              <w:rPr>
                <w:rFonts w:ascii="Times;serif" w:hAnsi="Times;serif"/>
                <w:color w:val="0000FF"/>
                <w:sz w:val="24"/>
                <w:shd w:fill="FFFFFF" w:val="clear"/>
              </w:rPr>
              <w:t>CNP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752"/>
        <w:gridCol w:w="1186"/>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05/05/2025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24,859</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38.88</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133,503</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for taxes upon vesting of time-based restricted stock units previously awarded under the Issuer's Long-Term Incentive Plan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includes previous awards under the Issuer's Long-Term Incentive Plan of (i) 14,908 RSUs vesting in May 2026, (ii) 11,272 RSUs vesting in two equal installments in February 2026 and 2027, and (iii) 20,295 RSUs vesting in three equal installments in February 2026, 2027, and 2028. The above awards shall vest (a) upon continued employment with Issuer through the respective vesting date or (b) in the event of earlier disability or death. The awards will also vest on a full or pro-rata basis upon earlier retirement, subject to satisfaction of certain conditions, and all vesting of those awards is further conditioned upon achievement of positive operating income for the year preceding the applicable vesting date except in the case of death or disability.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Vincent A. Mercaldi,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948" TargetMode="External"/><Relationship Id="rId5" Type="http://schemas.openxmlformats.org/officeDocument/2006/relationships/hyperlink" Target="http://www.sec.gov/cgi-bin/browse-edgar?action=getcompany&amp;CIK=00011303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704</Words>
  <Characters>3829</Characters>
  <CharactersWithSpaces>4473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