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565150</wp:posOffset>
            </wp:positionH>
            <wp:positionV relativeFrom="page">
              <wp:posOffset>733425</wp:posOffset>
            </wp:positionV>
            <wp:extent cx="6428105" cy="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8105" cy="5080"/>
                    </a:xfrm>
                    <a:prstGeom prst="rect">
                      <a:avLst/>
                    </a:prstGeom>
                    <a:noFill/>
                  </pic:spPr>
                </pic:pic>
              </a:graphicData>
            </a:graphic>
          </wp:anchor>
        </w:drawing>
        <w:drawing>
          <wp:anchor simplePos="0" relativeHeight="251657728" behindDoc="1" locked="0" layoutInCell="0" allowOverlap="1">
            <wp:simplePos x="0" y="0"/>
            <wp:positionH relativeFrom="page">
              <wp:posOffset>565150</wp:posOffset>
            </wp:positionH>
            <wp:positionV relativeFrom="page">
              <wp:posOffset>748665</wp:posOffset>
            </wp:positionV>
            <wp:extent cx="6428105" cy="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8105" cy="5080"/>
                    </a:xfrm>
                    <a:prstGeom prst="rect">
                      <a:avLst/>
                    </a:prstGeom>
                    <a:noFill/>
                  </pic:spPr>
                </pic:pic>
              </a:graphicData>
            </a:graphic>
          </wp:anchor>
        </w:drawing>
        <w:t>UNITED STATES</w:t>
      </w:r>
    </w:p>
    <w:p>
      <w:pPr>
        <w:spacing w:after="0" w:line="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9"/>
          <w:szCs w:val="9"/>
          <w:color w:val="auto"/>
        </w:rPr>
        <w:t>Washington, D.C. 20549</w:t>
      </w:r>
    </w:p>
    <w:p>
      <w:pPr>
        <w:spacing w:after="0" w:line="28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3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9"/>
          <w:szCs w:val="9"/>
          <w:b w:val="1"/>
          <w:bCs w:val="1"/>
          <w:color w:val="auto"/>
        </w:rPr>
        <w:t>CURRENT REPORT</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9"/>
          <w:szCs w:val="9"/>
          <w:b w:val="1"/>
          <w:bCs w:val="1"/>
          <w:color w:val="auto"/>
        </w:rPr>
        <w:t>Pursuant to Section 13 or 15(d)</w:t>
      </w:r>
    </w:p>
    <w:p>
      <w:pPr>
        <w:spacing w:after="0" w:line="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9"/>
          <w:szCs w:val="9"/>
          <w:b w:val="1"/>
          <w:bCs w:val="1"/>
          <w:color w:val="auto"/>
        </w:rPr>
        <w:t>of the Securities Exchange Act of 1934</w:t>
      </w:r>
    </w:p>
    <w:p>
      <w:pPr>
        <w:spacing w:after="0" w:line="1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9"/>
          <w:szCs w:val="9"/>
          <w:color w:val="auto"/>
        </w:rPr>
        <w:t xml:space="preserve">Date of Report (Date of earliest event reported): </w:t>
      </w:r>
      <w:r>
        <w:rPr>
          <w:rFonts w:ascii="Times New Roman" w:cs="Times New Roman" w:eastAsia="Times New Roman" w:hAnsi="Times New Roman"/>
          <w:sz w:val="9"/>
          <w:szCs w:val="9"/>
          <w:b w:val="1"/>
          <w:bCs w:val="1"/>
          <w:color w:val="auto"/>
        </w:rPr>
        <w:t>September 29, 2025</w:t>
      </w:r>
    </w:p>
    <w:p>
      <w:pPr>
        <w:spacing w:after="0" w:line="29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CENTERPOINT ENERGY, INC.</w:t>
      </w:r>
    </w:p>
    <w:p>
      <w:pPr>
        <w:spacing w:after="0" w:line="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9"/>
          <w:szCs w:val="9"/>
          <w:color w:val="auto"/>
        </w:rPr>
        <w:t>(Exact name of registrant as specified in its charter)</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9"/>
          <w:szCs w:val="9"/>
          <w:b w:val="1"/>
          <w:bCs w:val="1"/>
          <w:color w:val="auto"/>
        </w:rPr>
        <w:t>_______________________________</w:t>
      </w:r>
    </w:p>
    <w:p>
      <w:pPr>
        <w:sectPr>
          <w:pgSz w:w="11900" w:h="16840" w:orient="portrait"/>
          <w:cols w:equalWidth="0" w:num="1">
            <w:col w:w="10380"/>
          </w:cols>
          <w:pgMar w:left="640" w:top="1361" w:right="880" w:bottom="1440" w:gutter="0" w:footer="0" w:header="0"/>
        </w:sectPr>
      </w:pPr>
    </w:p>
    <w:p>
      <w:pPr>
        <w:spacing w:after="0" w:line="6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9"/>
          <w:szCs w:val="9"/>
          <w:b w:val="1"/>
          <w:bCs w:val="1"/>
          <w:color w:val="auto"/>
        </w:rPr>
        <w:t>Texas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1-31447</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74-0694415</w:t>
      </w:r>
    </w:p>
    <w:p>
      <w:pPr>
        <w:spacing w:after="0" w:line="38" w:lineRule="exact"/>
        <w:rPr>
          <w:sz w:val="24"/>
          <w:szCs w:val="24"/>
          <w:color w:val="auto"/>
        </w:rPr>
      </w:pPr>
    </w:p>
    <w:p>
      <w:pPr>
        <w:sectPr>
          <w:pgSz w:w="11900" w:h="16840" w:orient="portrait"/>
          <w:cols w:equalWidth="0" w:num="3">
            <w:col w:w="4440" w:space="720"/>
            <w:col w:w="980" w:space="720"/>
            <w:col w:w="3520"/>
          </w:cols>
          <w:pgMar w:left="640" w:top="1361" w:right="880" w:bottom="1440" w:gutter="0" w:footer="0" w:header="0"/>
          <w:type w:val="continuous"/>
        </w:sectPr>
      </w:pPr>
    </w:p>
    <w:p>
      <w:pPr>
        <w:ind w:left="3240"/>
        <w:spacing w:after="0"/>
        <w:rPr>
          <w:sz w:val="20"/>
          <w:szCs w:val="20"/>
          <w:color w:val="auto"/>
        </w:rPr>
      </w:pPr>
      <w:r>
        <w:rPr>
          <w:rFonts w:ascii="Times New Roman" w:cs="Times New Roman" w:eastAsia="Times New Roman" w:hAnsi="Times New Roman"/>
          <w:sz w:val="7"/>
          <w:szCs w:val="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7"/>
          <w:szCs w:val="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7"/>
          <w:szCs w:val="7"/>
          <w:color w:val="auto"/>
        </w:rPr>
        <w:t>(IRS Employer</w:t>
      </w:r>
    </w:p>
    <w:p>
      <w:pPr>
        <w:spacing w:after="0" w:line="44" w:lineRule="exact"/>
        <w:rPr>
          <w:sz w:val="24"/>
          <w:szCs w:val="24"/>
          <w:color w:val="auto"/>
        </w:rPr>
      </w:pPr>
    </w:p>
    <w:p>
      <w:pPr>
        <w:sectPr>
          <w:pgSz w:w="11900" w:h="16840" w:orient="portrait"/>
          <w:cols w:equalWidth="0" w:num="3">
            <w:col w:w="4200" w:space="720"/>
            <w:col w:w="1220" w:space="720"/>
            <w:col w:w="3520"/>
          </w:cols>
          <w:pgMar w:left="640" w:top="1361" w:right="880" w:bottom="1440" w:gutter="0" w:footer="0" w:header="0"/>
          <w:type w:val="continuous"/>
        </w:sectPr>
      </w:pPr>
    </w:p>
    <w:p>
      <w:pPr>
        <w:ind w:left="3380"/>
        <w:spacing w:after="0"/>
        <w:rPr>
          <w:sz w:val="20"/>
          <w:szCs w:val="20"/>
          <w:color w:val="auto"/>
        </w:rPr>
      </w:pPr>
      <w:r>
        <w:rPr>
          <w:rFonts w:ascii="Times New Roman" w:cs="Times New Roman" w:eastAsia="Times New Roman" w:hAnsi="Times New Roman"/>
          <w:sz w:val="6"/>
          <w:szCs w:val="6"/>
          <w:color w:val="auto"/>
        </w:rPr>
        <w:t>of incorporation)</w:t>
      </w:r>
    </w:p>
    <w:p>
      <w:pPr>
        <w:spacing w:after="0" w:line="20" w:lineRule="exact"/>
        <w:rPr>
          <w:sz w:val="24"/>
          <w:szCs w:val="24"/>
          <w:color w:val="auto"/>
        </w:rPr>
      </w:pPr>
      <w:r>
        <w:rPr>
          <w:sz w:val="24"/>
          <w:szCs w:val="24"/>
          <w:color w:val="auto"/>
        </w:rPr>
        <w:br w:type="column"/>
      </w:r>
    </w:p>
    <w:p>
      <w:pPr>
        <w:jc w:val="center"/>
        <w:ind w:right="3040"/>
        <w:spacing w:after="0"/>
        <w:rPr>
          <w:sz w:val="20"/>
          <w:szCs w:val="20"/>
          <w:color w:val="auto"/>
        </w:rPr>
      </w:pPr>
      <w:r>
        <w:rPr>
          <w:rFonts w:ascii="Times New Roman" w:cs="Times New Roman" w:eastAsia="Times New Roman" w:hAnsi="Times New Roman"/>
          <w:sz w:val="6"/>
          <w:szCs w:val="6"/>
          <w:color w:val="auto"/>
        </w:rPr>
        <w:t>Identification No.)</w:t>
      </w:r>
    </w:p>
    <w:p>
      <w:pPr>
        <w:spacing w:after="0" w:line="101" w:lineRule="exact"/>
        <w:rPr>
          <w:sz w:val="24"/>
          <w:szCs w:val="24"/>
          <w:color w:val="auto"/>
        </w:rPr>
      </w:pPr>
    </w:p>
    <w:p>
      <w:pPr>
        <w:sectPr>
          <w:pgSz w:w="11900" w:h="16840" w:orient="portrait"/>
          <w:cols w:equalWidth="0" w:num="2">
            <w:col w:w="6100" w:space="720"/>
            <w:col w:w="3560"/>
          </w:cols>
          <w:pgMar w:left="640" w:top="1361" w:right="880" w:bottom="1440" w:gutter="0" w:footer="0" w:header="0"/>
          <w:type w:val="continuous"/>
        </w:sectPr>
      </w:pPr>
    </w:p>
    <w:p>
      <w:pPr>
        <w:ind w:left="3740"/>
        <w:spacing w:after="0"/>
        <w:rPr>
          <w:sz w:val="20"/>
          <w:szCs w:val="20"/>
          <w:color w:val="auto"/>
        </w:rPr>
      </w:pPr>
      <w:r>
        <w:rPr>
          <w:rFonts w:ascii="Times New Roman" w:cs="Times New Roman" w:eastAsia="Times New Roman" w:hAnsi="Times New Roman"/>
          <w:sz w:val="9"/>
          <w:szCs w:val="9"/>
          <w:b w:val="1"/>
          <w:bCs w:val="1"/>
          <w:color w:val="auto"/>
        </w:rPr>
        <w:t>1111 Louisiana</w:t>
      </w:r>
    </w:p>
    <w:p>
      <w:pPr>
        <w:spacing w:after="0" w:line="2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9"/>
          <w:szCs w:val="9"/>
          <w:b w:val="1"/>
          <w:bCs w:val="1"/>
          <w:color w:val="auto"/>
        </w:rPr>
        <w:t>Houston Texas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77002</w:t>
      </w:r>
    </w:p>
    <w:p>
      <w:pPr>
        <w:spacing w:after="0" w:line="54" w:lineRule="exact"/>
        <w:rPr>
          <w:sz w:val="24"/>
          <w:szCs w:val="24"/>
          <w:color w:val="auto"/>
        </w:rPr>
      </w:pPr>
    </w:p>
    <w:p>
      <w:pPr>
        <w:sectPr>
          <w:pgSz w:w="11900" w:h="16840" w:orient="portrait"/>
          <w:cols w:equalWidth="0" w:num="2">
            <w:col w:w="5380" w:space="720"/>
            <w:col w:w="4280"/>
          </w:cols>
          <w:pgMar w:left="640" w:top="1361" w:right="880" w:bottom="1440" w:gutter="0" w:footer="0" w:header="0"/>
          <w:type w:val="continuous"/>
        </w:sectPr>
      </w:pPr>
    </w:p>
    <w:p>
      <w:pPr>
        <w:ind w:left="3480"/>
        <w:spacing w:after="0"/>
        <w:rPr>
          <w:sz w:val="20"/>
          <w:szCs w:val="20"/>
          <w:color w:val="auto"/>
        </w:rPr>
      </w:pPr>
      <w:r>
        <w:rPr>
          <w:rFonts w:ascii="Times New Roman" w:cs="Times New Roman" w:eastAsia="Times New Roman" w:hAnsi="Times New Roman"/>
          <w:sz w:val="7"/>
          <w:szCs w:val="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7"/>
          <w:szCs w:val="7"/>
          <w:color w:val="auto"/>
        </w:rPr>
        <w:t>(Zip Code)</w:t>
      </w:r>
    </w:p>
    <w:p>
      <w:pPr>
        <w:spacing w:after="0" w:line="90" w:lineRule="exact"/>
        <w:rPr>
          <w:sz w:val="24"/>
          <w:szCs w:val="24"/>
          <w:color w:val="auto"/>
        </w:rPr>
      </w:pPr>
    </w:p>
    <w:p>
      <w:pPr>
        <w:sectPr>
          <w:pgSz w:w="11900" w:h="16840" w:orient="portrait"/>
          <w:cols w:equalWidth="0" w:num="2">
            <w:col w:w="5340" w:space="720"/>
            <w:col w:w="4320"/>
          </w:cols>
          <w:pgMar w:left="640" w:top="1361" w:right="880"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9"/>
          <w:szCs w:val="9"/>
          <w:color w:val="auto"/>
        </w:rPr>
        <w:t xml:space="preserve">Registrant’s telephone number, including area code:  </w:t>
      </w:r>
      <w:r>
        <w:rPr>
          <w:rFonts w:ascii="Times New Roman" w:cs="Times New Roman" w:eastAsia="Times New Roman" w:hAnsi="Times New Roman"/>
          <w:sz w:val="9"/>
          <w:szCs w:val="9"/>
          <w:b w:val="1"/>
          <w:bCs w:val="1"/>
          <w:color w:val="auto"/>
        </w:rPr>
        <w:t>(713) 207-1111</w:t>
      </w:r>
    </w:p>
    <w:p>
      <w:pPr>
        <w:spacing w:after="0" w:line="20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9"/>
          <w:szCs w:val="9"/>
          <w:color w:val="auto"/>
        </w:rPr>
        <w:t xml:space="preserve">Check the appropriate box below if the Form 8-K filing is intended to simultaneously satisfy the filing obligation of the registrant under any of the following provisions ( </w:t>
      </w:r>
      <w:r>
        <w:rPr>
          <w:rFonts w:ascii="Times New Roman" w:cs="Times New Roman" w:eastAsia="Times New Roman" w:hAnsi="Times New Roman"/>
          <w:sz w:val="9"/>
          <w:szCs w:val="9"/>
          <w:i w:val="1"/>
          <w:iCs w:val="1"/>
          <w:color w:val="auto"/>
        </w:rPr>
        <w:t>see</w:t>
      </w:r>
      <w:r>
        <w:rPr>
          <w:rFonts w:ascii="Times New Roman" w:cs="Times New Roman" w:eastAsia="Times New Roman" w:hAnsi="Times New Roman"/>
          <w:sz w:val="9"/>
          <w:szCs w:val="9"/>
          <w:color w:val="auto"/>
        </w:rPr>
        <w:t xml:space="preserve"> General Instruction A.2. below):</w:t>
      </w:r>
    </w:p>
    <w:p>
      <w:pPr>
        <w:spacing w:after="0" w:line="172" w:lineRule="exact"/>
        <w:rPr>
          <w:sz w:val="24"/>
          <w:szCs w:val="24"/>
          <w:color w:val="auto"/>
        </w:rPr>
      </w:pPr>
    </w:p>
    <w:p>
      <w:pPr>
        <w:ind w:left="280" w:hanging="194"/>
        <w:spacing w:after="0"/>
        <w:tabs>
          <w:tab w:leader="none" w:pos="28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9"/>
          <w:szCs w:val="9"/>
          <w:color w:val="auto"/>
        </w:rPr>
        <w:t>Written communications pursuant to Rule 425 under the Securities Act (17 CFR 230.425)</w:t>
      </w:r>
    </w:p>
    <w:p>
      <w:pPr>
        <w:spacing w:after="0" w:line="29" w:lineRule="exact"/>
        <w:rPr>
          <w:rFonts w:ascii="MS PGothic" w:cs="MS PGothic" w:eastAsia="MS PGothic" w:hAnsi="MS PGothic"/>
          <w:sz w:val="10"/>
          <w:szCs w:val="10"/>
          <w:color w:val="auto"/>
        </w:rPr>
      </w:pPr>
    </w:p>
    <w:p>
      <w:pPr>
        <w:ind w:left="280" w:hanging="194"/>
        <w:spacing w:after="0"/>
        <w:tabs>
          <w:tab w:leader="none" w:pos="28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9"/>
          <w:szCs w:val="9"/>
          <w:color w:val="auto"/>
        </w:rPr>
        <w:t>Soliciting material pursuant to Rule 14a-12 under the Exchange Act (17 CFR 240.14a-12)</w:t>
      </w:r>
    </w:p>
    <w:p>
      <w:pPr>
        <w:spacing w:after="0" w:line="19" w:lineRule="exact"/>
        <w:rPr>
          <w:rFonts w:ascii="MS PGothic" w:cs="MS PGothic" w:eastAsia="MS PGothic" w:hAnsi="MS PGothic"/>
          <w:sz w:val="10"/>
          <w:szCs w:val="10"/>
          <w:color w:val="auto"/>
        </w:rPr>
      </w:pPr>
    </w:p>
    <w:p>
      <w:pPr>
        <w:ind w:left="280" w:hanging="194"/>
        <w:spacing w:after="0"/>
        <w:tabs>
          <w:tab w:leader="none" w:pos="28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9"/>
          <w:szCs w:val="9"/>
          <w:color w:val="auto"/>
        </w:rPr>
        <w:t>Pre-commencement communications pursuant to Rule 14d-2(b) under the Exchange Act (17 CFR 240.14d-2(b))</w:t>
      </w:r>
    </w:p>
    <w:p>
      <w:pPr>
        <w:spacing w:after="0" w:line="19" w:lineRule="exact"/>
        <w:rPr>
          <w:rFonts w:ascii="MS PGothic" w:cs="MS PGothic" w:eastAsia="MS PGothic" w:hAnsi="MS PGothic"/>
          <w:sz w:val="10"/>
          <w:szCs w:val="10"/>
          <w:color w:val="auto"/>
        </w:rPr>
      </w:pPr>
    </w:p>
    <w:p>
      <w:pPr>
        <w:ind w:left="280" w:hanging="194"/>
        <w:spacing w:after="0"/>
        <w:tabs>
          <w:tab w:leader="none" w:pos="28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9"/>
          <w:szCs w:val="9"/>
          <w:color w:val="auto"/>
        </w:rPr>
        <w:t>Pre-commencement communications pursuant to Rule 13e-4(c) under the Exchange Act (17 CFR 240.13e-4(c))</w:t>
      </w:r>
    </w:p>
    <w:p>
      <w:pPr>
        <w:spacing w:after="0" w:line="72" w:lineRule="exact"/>
        <w:rPr>
          <w:sz w:val="24"/>
          <w:szCs w:val="24"/>
          <w:color w:val="auto"/>
        </w:rPr>
      </w:pPr>
    </w:p>
    <w:tbl>
      <w:tblPr>
        <w:tblLayout w:type="fixed"/>
        <w:tblInd w:w="240" w:type="dxa"/>
        <w:tblCellMar>
          <w:top w:w="0" w:type="dxa"/>
          <w:left w:w="0" w:type="dxa"/>
          <w:bottom w:w="0" w:type="dxa"/>
          <w:right w:w="0" w:type="dxa"/>
        </w:tblCellMar>
      </w:tblPr>
      <w:tr>
        <w:trPr>
          <w:trHeight w:val="121"/>
        </w:trPr>
        <w:tc>
          <w:tcPr>
            <w:tcW w:w="3820" w:type="dxa"/>
            <w:vAlign w:val="bottom"/>
          </w:tcPr>
          <w:p>
            <w:pPr>
              <w:ind w:left="20"/>
              <w:spacing w:after="0"/>
              <w:rPr>
                <w:sz w:val="20"/>
                <w:szCs w:val="20"/>
                <w:color w:val="auto"/>
              </w:rPr>
            </w:pPr>
            <w:r>
              <w:rPr>
                <w:rFonts w:ascii="Times New Roman" w:cs="Times New Roman" w:eastAsia="Times New Roman" w:hAnsi="Times New Roman"/>
                <w:sz w:val="9"/>
                <w:szCs w:val="9"/>
                <w:color w:val="auto"/>
              </w:rPr>
              <w:t>Securities registered pursuant to Section 12(b) of the Act:</w:t>
            </w:r>
          </w:p>
        </w:tc>
        <w:tc>
          <w:tcPr>
            <w:tcW w:w="26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20" w:type="dxa"/>
            <w:vAlign w:val="bottom"/>
            <w:tcBorders>
              <w:bottom w:val="single" w:sz="8" w:color="auto"/>
            </w:tcBorders>
          </w:tcPr>
          <w:p>
            <w:pPr>
              <w:jc w:val="center"/>
              <w:ind w:left="413"/>
              <w:spacing w:after="0"/>
              <w:rPr>
                <w:sz w:val="20"/>
                <w:szCs w:val="20"/>
                <w:color w:val="auto"/>
              </w:rPr>
            </w:pPr>
            <w:r>
              <w:rPr>
                <w:rFonts w:ascii="Times New Roman" w:cs="Times New Roman" w:eastAsia="Times New Roman" w:hAnsi="Times New Roman"/>
                <w:sz w:val="9"/>
                <w:szCs w:val="9"/>
                <w:color w:val="auto"/>
              </w:rPr>
              <w:t>Title of each class</w:t>
            </w:r>
          </w:p>
        </w:tc>
        <w:tc>
          <w:tcPr>
            <w:tcW w:w="266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9"/>
                <w:szCs w:val="9"/>
                <w:color w:val="auto"/>
              </w:rPr>
              <w:t>Trading Symbol(s)</w:t>
            </w:r>
          </w:p>
        </w:tc>
        <w:tc>
          <w:tcPr>
            <w:tcW w:w="36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9"/>
                <w:szCs w:val="9"/>
                <w:color w:val="auto"/>
              </w:rPr>
              <w:t>Name of each exchange on which registered</w:t>
            </w:r>
          </w:p>
        </w:tc>
        <w:tc>
          <w:tcPr>
            <w:tcW w:w="0" w:type="dxa"/>
            <w:vAlign w:val="bottom"/>
          </w:tcPr>
          <w:p>
            <w:pPr>
              <w:spacing w:after="0"/>
              <w:rPr>
                <w:sz w:val="1"/>
                <w:szCs w:val="1"/>
                <w:color w:val="auto"/>
              </w:rPr>
            </w:pPr>
          </w:p>
        </w:tc>
      </w:tr>
      <w:tr>
        <w:trPr>
          <w:trHeight w:val="119"/>
        </w:trPr>
        <w:tc>
          <w:tcPr>
            <w:tcW w:w="3820" w:type="dxa"/>
            <w:vAlign w:val="bottom"/>
            <w:vMerge w:val="restart"/>
          </w:tcPr>
          <w:p>
            <w:pPr>
              <w:jc w:val="center"/>
              <w:ind w:left="413"/>
              <w:spacing w:after="0"/>
              <w:rPr>
                <w:sz w:val="20"/>
                <w:szCs w:val="20"/>
                <w:color w:val="auto"/>
              </w:rPr>
            </w:pPr>
            <w:r>
              <w:rPr>
                <w:rFonts w:ascii="Times New Roman" w:cs="Times New Roman" w:eastAsia="Times New Roman" w:hAnsi="Times New Roman"/>
                <w:sz w:val="9"/>
                <w:szCs w:val="9"/>
                <w:color w:val="auto"/>
              </w:rPr>
              <w:t>Common Stock, $0.01 par value</w:t>
            </w:r>
          </w:p>
        </w:tc>
        <w:tc>
          <w:tcPr>
            <w:tcW w:w="2660" w:type="dxa"/>
            <w:vAlign w:val="bottom"/>
            <w:vMerge w:val="restart"/>
          </w:tcPr>
          <w:p>
            <w:pPr>
              <w:jc w:val="center"/>
              <w:ind w:left="153"/>
              <w:spacing w:after="0"/>
              <w:rPr>
                <w:sz w:val="20"/>
                <w:szCs w:val="20"/>
                <w:color w:val="auto"/>
              </w:rPr>
            </w:pPr>
            <w:r>
              <w:rPr>
                <w:rFonts w:ascii="Times New Roman" w:cs="Times New Roman" w:eastAsia="Times New Roman" w:hAnsi="Times New Roman"/>
                <w:sz w:val="9"/>
                <w:szCs w:val="9"/>
                <w:color w:val="auto"/>
              </w:rPr>
              <w:t>CNP</w:t>
            </w:r>
          </w:p>
        </w:tc>
        <w:tc>
          <w:tcPr>
            <w:tcW w:w="3660" w:type="dxa"/>
            <w:vAlign w:val="bottom"/>
          </w:tcPr>
          <w:p>
            <w:pPr>
              <w:jc w:val="center"/>
              <w:ind w:right="233"/>
              <w:spacing w:after="0"/>
              <w:rPr>
                <w:sz w:val="20"/>
                <w:szCs w:val="20"/>
                <w:color w:val="auto"/>
              </w:rPr>
            </w:pPr>
            <w:r>
              <w:rPr>
                <w:rFonts w:ascii="Times New Roman" w:cs="Times New Roman" w:eastAsia="Times New Roman" w:hAnsi="Times New Roman"/>
                <w:sz w:val="9"/>
                <w:szCs w:val="9"/>
                <w:color w:val="auto"/>
              </w:rPr>
              <w:t>The New York Stock Exchange</w:t>
            </w:r>
          </w:p>
        </w:tc>
        <w:tc>
          <w:tcPr>
            <w:tcW w:w="0" w:type="dxa"/>
            <w:vAlign w:val="bottom"/>
          </w:tcPr>
          <w:p>
            <w:pPr>
              <w:spacing w:after="0"/>
              <w:rPr>
                <w:sz w:val="1"/>
                <w:szCs w:val="1"/>
                <w:color w:val="auto"/>
              </w:rPr>
            </w:pPr>
          </w:p>
        </w:tc>
      </w:tr>
      <w:tr>
        <w:trPr>
          <w:trHeight w:val="62"/>
        </w:trPr>
        <w:tc>
          <w:tcPr>
            <w:tcW w:w="3820" w:type="dxa"/>
            <w:vAlign w:val="bottom"/>
            <w:vMerge w:val="continue"/>
          </w:tcPr>
          <w:p>
            <w:pPr>
              <w:spacing w:after="0"/>
              <w:rPr>
                <w:sz w:val="5"/>
                <w:szCs w:val="5"/>
                <w:color w:val="auto"/>
              </w:rPr>
            </w:pPr>
          </w:p>
        </w:tc>
        <w:tc>
          <w:tcPr>
            <w:tcW w:w="2660" w:type="dxa"/>
            <w:vAlign w:val="bottom"/>
            <w:vMerge w:val="continue"/>
          </w:tcPr>
          <w:p>
            <w:pPr>
              <w:spacing w:after="0"/>
              <w:rPr>
                <w:sz w:val="5"/>
                <w:szCs w:val="5"/>
                <w:color w:val="auto"/>
              </w:rPr>
            </w:pPr>
          </w:p>
        </w:tc>
        <w:tc>
          <w:tcPr>
            <w:tcW w:w="3660" w:type="dxa"/>
            <w:vAlign w:val="bottom"/>
            <w:vMerge w:val="restart"/>
          </w:tcPr>
          <w:p>
            <w:pPr>
              <w:jc w:val="center"/>
              <w:ind w:right="233"/>
              <w:spacing w:after="0"/>
              <w:rPr>
                <w:sz w:val="20"/>
                <w:szCs w:val="20"/>
                <w:color w:val="auto"/>
              </w:rPr>
            </w:pPr>
            <w:r>
              <w:rPr>
                <w:rFonts w:ascii="Times New Roman" w:cs="Times New Roman" w:eastAsia="Times New Roman" w:hAnsi="Times New Roman"/>
                <w:sz w:val="9"/>
                <w:szCs w:val="9"/>
                <w:color w:val="auto"/>
              </w:rPr>
              <w:t>NYSE Texas</w:t>
            </w:r>
          </w:p>
        </w:tc>
        <w:tc>
          <w:tcPr>
            <w:tcW w:w="0" w:type="dxa"/>
            <w:vAlign w:val="bottom"/>
          </w:tcPr>
          <w:p>
            <w:pPr>
              <w:spacing w:after="0"/>
              <w:rPr>
                <w:sz w:val="1"/>
                <w:szCs w:val="1"/>
                <w:color w:val="auto"/>
              </w:rPr>
            </w:pPr>
          </w:p>
        </w:tc>
      </w:tr>
      <w:tr>
        <w:trPr>
          <w:trHeight w:val="78"/>
        </w:trPr>
        <w:tc>
          <w:tcPr>
            <w:tcW w:w="38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Indicate by check mark whether the registrant is an emerging growth company as defined in Rule 405 of the Securities Act of 1933 (§230.405) or Rule 12b-2 of the Securities Exchange Act of 1934 (§240.12b-2).</w:t>
      </w:r>
    </w:p>
    <w:p>
      <w:pPr>
        <w:spacing w:after="0" w:line="153"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9"/>
          <w:szCs w:val="9"/>
          <w:color w:val="auto"/>
        </w:rPr>
        <w:t xml:space="preserve">Emerging Growth Company </w:t>
      </w:r>
      <w:r>
        <w:rPr>
          <w:rFonts w:ascii="MS PGothic" w:cs="MS PGothic" w:eastAsia="MS PGothic" w:hAnsi="MS PGothic"/>
          <w:sz w:val="10"/>
          <w:szCs w:val="10"/>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9"/>
          <w:szCs w:val="9"/>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447040</wp:posOffset>
            </wp:positionV>
            <wp:extent cx="6775450" cy="35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5450" cy="35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87630</wp:posOffset>
            </wp:positionV>
            <wp:extent cx="6750050" cy="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0050" cy="5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102870</wp:posOffset>
            </wp:positionV>
            <wp:extent cx="6750050" cy="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0050" cy="5080"/>
                    </a:xfrm>
                    <a:prstGeom prst="rect">
                      <a:avLst/>
                    </a:prstGeom>
                    <a:noFill/>
                  </pic:spPr>
                </pic:pic>
              </a:graphicData>
            </a:graphic>
          </wp:anchor>
        </w:drawing>
      </w:r>
    </w:p>
    <w:p>
      <w:pPr>
        <w:sectPr>
          <w:pgSz w:w="11900" w:h="16840" w:orient="portrait"/>
          <w:cols w:equalWidth="0" w:num="1">
            <w:col w:w="10380"/>
          </w:cols>
          <w:pgMar w:left="640" w:top="1361" w:right="880" w:bottom="1440" w:gutter="0" w:footer="0" w:header="0"/>
          <w:type w:val="continuous"/>
        </w:sectPr>
      </w:pPr>
    </w:p>
    <w:bookmarkStart w:id="1" w:name="page2"/>
    <w:bookmarkEnd w:id="1"/>
    <w:p>
      <w:pPr>
        <w:spacing w:after="0"/>
        <w:tabs>
          <w:tab w:leader="none" w:pos="520" w:val="left"/>
        </w:tabs>
        <w:rPr>
          <w:sz w:val="20"/>
          <w:szCs w:val="20"/>
          <w:color w:val="auto"/>
        </w:rPr>
      </w:pPr>
      <w:r>
        <w:rPr>
          <w:rFonts w:ascii="Times New Roman" w:cs="Times New Roman" w:eastAsia="Times New Roman" w:hAnsi="Times New Roman"/>
          <w:sz w:val="10"/>
          <w:szCs w:val="10"/>
          <w:b w:val="1"/>
          <w:bCs w:val="1"/>
          <w:color w:val="auto"/>
        </w:rPr>
        <w:t>Item 7.01.</w:t>
        <w:tab/>
        <w:t>Regulation FD Disclosure.</w:t>
      </w:r>
    </w:p>
    <w:p>
      <w:pPr>
        <w:spacing w:after="0" w:line="67" w:lineRule="exact"/>
        <w:rPr>
          <w:sz w:val="20"/>
          <w:szCs w:val="20"/>
          <w:color w:val="auto"/>
        </w:rPr>
      </w:pPr>
    </w:p>
    <w:p>
      <w:pPr>
        <w:jc w:val="both"/>
        <w:ind w:right="20" w:firstLine="258"/>
        <w:spacing w:after="0" w:line="260" w:lineRule="auto"/>
        <w:rPr>
          <w:sz w:val="20"/>
          <w:szCs w:val="20"/>
          <w:color w:val="auto"/>
        </w:rPr>
      </w:pPr>
      <w:r>
        <w:rPr>
          <w:rFonts w:ascii="Times New Roman" w:cs="Times New Roman" w:eastAsia="Times New Roman" w:hAnsi="Times New Roman"/>
          <w:sz w:val="10"/>
          <w:szCs w:val="10"/>
          <w:color w:val="auto"/>
        </w:rPr>
        <w:t>On September 29, 2025, CenterPoint Energy, Inc. (“CenterPoint Energy”) issued a press release and posted a slide presentation on its website to provide information regarding CenterPoint Energy’s long-term financial outlook and business strategy, including with respect to its new 10 -year capital investment plan, in connection with CenterPoint Energy’s hosting of an Investor Update on such date. A copy of the press release and slide presentation are attached to this Current Report on Form 8-K as Exhibit 99.1 and Exhibit 99.2, respectively, and are incorporated by reference herein.</w:t>
      </w:r>
    </w:p>
    <w:p>
      <w:pPr>
        <w:spacing w:after="0" w:line="40" w:lineRule="exact"/>
        <w:rPr>
          <w:sz w:val="20"/>
          <w:szCs w:val="20"/>
          <w:color w:val="auto"/>
        </w:rPr>
      </w:pPr>
    </w:p>
    <w:p>
      <w:pPr>
        <w:jc w:val="both"/>
        <w:ind w:firstLine="258"/>
        <w:spacing w:after="0" w:line="260" w:lineRule="auto"/>
        <w:rPr>
          <w:sz w:val="20"/>
          <w:szCs w:val="20"/>
          <w:color w:val="auto"/>
        </w:rPr>
      </w:pPr>
      <w:r>
        <w:rPr>
          <w:rFonts w:ascii="Times New Roman" w:cs="Times New Roman" w:eastAsia="Times New Roman" w:hAnsi="Times New Roman"/>
          <w:sz w:val="10"/>
          <w:szCs w:val="10"/>
          <w:color w:val="auto"/>
        </w:rPr>
        <w:t>Exhibit 99.1 and Exhibit 99.2 are being furnished, not filed, pursuant to Item 7.01. Accordingly, none of the information in Exhibit 99.1 or Exhibit 99.2 will be deemed “filed” for purposes of Section 18 of the Securities Exchange Act of 1934, as amended, or otherwise subject to the liability of that section, as amended, and the information in Exhibit 99.1 and Exhibit 99.2 will not be incorporated by reference into any registration statement filed by CenterPoint Energy under the Securities Act of 1933, as amended, unless specifically identified as being incorporated by reference.</w:t>
      </w:r>
    </w:p>
    <w:p>
      <w:pPr>
        <w:spacing w:after="0" w:line="1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0"/>
          <w:szCs w:val="10"/>
          <w:b w:val="1"/>
          <w:bCs w:val="1"/>
          <w:color w:val="auto"/>
        </w:rPr>
        <w:t>Item 9.01.</w:t>
        <w:tab/>
        <w:t>Financial Statements and Exhibits.</w:t>
      </w:r>
    </w:p>
    <w:p>
      <w:pPr>
        <w:spacing w:after="0" w:line="67" w:lineRule="exact"/>
        <w:rPr>
          <w:sz w:val="20"/>
          <w:szCs w:val="20"/>
          <w:color w:val="auto"/>
        </w:rPr>
      </w:pPr>
    </w:p>
    <w:p>
      <w:pPr>
        <w:jc w:val="both"/>
        <w:ind w:firstLine="281"/>
        <w:spacing w:after="0" w:line="260" w:lineRule="auto"/>
        <w:rPr>
          <w:sz w:val="20"/>
          <w:szCs w:val="20"/>
          <w:color w:val="auto"/>
        </w:rPr>
      </w:pPr>
      <w:r>
        <w:rPr>
          <w:rFonts w:ascii="Times New Roman" w:cs="Times New Roman" w:eastAsia="Times New Roman" w:hAnsi="Times New Roman"/>
          <w:sz w:val="10"/>
          <w:szCs w:val="10"/>
          <w:color w:val="auto"/>
        </w:rPr>
        <w:t>Exhibit 99.1 and Exhibit 99.2 are being furnished, not filed, pursuant to Item 7.01. Accordingly, none of the information in Exhibit 99.1 or Exhibit 99.2 will be deemed “filed” for purposes of Section 18 of the Securities Exchange Act of 1934, as amended, or otherwise subject to the liability of that section, as amended, and the information in Exhibit 99.1 and Exhibit 99.2 will not be incorporated by reference into any registration statement filed by CenterPoint Energy under the Securities Act of 1933, as amended, unless specifically identified as being incorporated by reference.</w:t>
      </w:r>
    </w:p>
    <w:p>
      <w:pPr>
        <w:spacing w:after="0" w:line="118" w:lineRule="exact"/>
        <w:rPr>
          <w:sz w:val="20"/>
          <w:szCs w:val="20"/>
          <w:color w:val="auto"/>
        </w:rPr>
      </w:pPr>
    </w:p>
    <w:p>
      <w:pPr>
        <w:ind w:left="1940" w:hanging="426"/>
        <w:spacing w:after="0"/>
        <w:tabs>
          <w:tab w:leader="none" w:pos="194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840" w:type="dxa"/>
            <w:vAlign w:val="bottom"/>
          </w:tcPr>
          <w:p>
            <w:pPr>
              <w:spacing w:after="0"/>
              <w:rPr>
                <w:sz w:val="8"/>
                <w:szCs w:val="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EXHIBIT</w:t>
            </w:r>
          </w:p>
        </w:tc>
        <w:tc>
          <w:tcPr>
            <w:tcW w:w="2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20" w:type="dxa"/>
            <w:vAlign w:val="bottom"/>
          </w:tcPr>
          <w:p>
            <w:pPr>
              <w:spacing w:after="0"/>
              <w:rPr>
                <w:sz w:val="8"/>
                <w:szCs w:val="8"/>
                <w:color w:val="auto"/>
              </w:rPr>
            </w:pPr>
          </w:p>
        </w:tc>
      </w:tr>
      <w:tr>
        <w:trPr>
          <w:trHeight w:val="94"/>
        </w:trPr>
        <w:tc>
          <w:tcPr>
            <w:tcW w:w="840" w:type="dxa"/>
            <w:vAlign w:val="bottom"/>
          </w:tcPr>
          <w:p>
            <w:pPr>
              <w:spacing w:after="0"/>
              <w:rPr>
                <w:sz w:val="8"/>
                <w:szCs w:val="8"/>
                <w:color w:val="auto"/>
              </w:rPr>
            </w:pPr>
          </w:p>
        </w:tc>
        <w:tc>
          <w:tcPr>
            <w:tcW w:w="1000" w:type="dxa"/>
            <w:vAlign w:val="bottom"/>
            <w:gridSpan w:val="2"/>
          </w:tcPr>
          <w:p>
            <w:pPr>
              <w:spacing w:after="0" w:line="94" w:lineRule="exact"/>
              <w:rPr>
                <w:sz w:val="20"/>
                <w:szCs w:val="20"/>
                <w:color w:val="auto"/>
              </w:rPr>
            </w:pPr>
            <w:r>
              <w:rPr>
                <w:rFonts w:ascii="Times New Roman" w:cs="Times New Roman" w:eastAsia="Times New Roman" w:hAnsi="Times New Roman"/>
                <w:sz w:val="9"/>
                <w:szCs w:val="9"/>
                <w:b w:val="1"/>
                <w:bCs w:val="1"/>
                <w:color w:val="auto"/>
              </w:rPr>
              <w:t>NUMBER</w:t>
            </w:r>
          </w:p>
        </w:tc>
        <w:tc>
          <w:tcPr>
            <w:tcW w:w="2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0" w:type="dxa"/>
            <w:vAlign w:val="bottom"/>
            <w:gridSpan w:val="2"/>
          </w:tcPr>
          <w:p>
            <w:pPr>
              <w:spacing w:after="0" w:line="94" w:lineRule="exact"/>
              <w:rPr>
                <w:sz w:val="20"/>
                <w:szCs w:val="20"/>
                <w:color w:val="auto"/>
              </w:rPr>
            </w:pPr>
            <w:r>
              <w:rPr>
                <w:rFonts w:ascii="Times New Roman" w:cs="Times New Roman" w:eastAsia="Times New Roman" w:hAnsi="Times New Roman"/>
                <w:sz w:val="9"/>
                <w:szCs w:val="9"/>
                <w:b w:val="1"/>
                <w:bCs w:val="1"/>
                <w:color w:val="auto"/>
              </w:rPr>
              <w:t>EXHIBIT DESCRIPTION</w:t>
            </w:r>
          </w:p>
        </w:tc>
      </w:tr>
      <w:tr>
        <w:trPr>
          <w:trHeight w:val="120"/>
        </w:trPr>
        <w:tc>
          <w:tcPr>
            <w:tcW w:w="840" w:type="dxa"/>
            <w:vAlign w:val="bottom"/>
          </w:tcPr>
          <w:p>
            <w:pPr>
              <w:spacing w:after="0"/>
              <w:rPr>
                <w:sz w:val="10"/>
                <w:szCs w:val="10"/>
                <w:color w:val="auto"/>
              </w:rPr>
            </w:pP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99.1</w:t>
            </w:r>
          </w:p>
        </w:tc>
        <w:tc>
          <w:tcPr>
            <w:tcW w:w="620" w:type="dxa"/>
            <w:vAlign w:val="bottom"/>
          </w:tcPr>
          <w:p>
            <w:pPr>
              <w:spacing w:after="0"/>
              <w:rPr>
                <w:sz w:val="10"/>
                <w:szCs w:val="10"/>
                <w:color w:val="auto"/>
              </w:rPr>
            </w:pPr>
          </w:p>
        </w:tc>
        <w:tc>
          <w:tcPr>
            <w:tcW w:w="3780" w:type="dxa"/>
            <w:vAlign w:val="bottom"/>
            <w:gridSpan w:val="3"/>
          </w:tcPr>
          <w:p>
            <w:pPr>
              <w:spacing w:after="0"/>
              <w:rPr>
                <w:rFonts w:ascii="Times New Roman" w:cs="Times New Roman" w:eastAsia="Times New Roman" w:hAnsi="Times New Roman"/>
                <w:sz w:val="10"/>
                <w:szCs w:val="10"/>
                <w:color w:val="0000FF"/>
              </w:rPr>
            </w:pPr>
            <w:hyperlink w:anchor="page1">
              <w:r>
                <w:rPr>
                  <w:rFonts w:ascii="Times New Roman" w:cs="Times New Roman" w:eastAsia="Times New Roman" w:hAnsi="Times New Roman"/>
                  <w:sz w:val="10"/>
                  <w:szCs w:val="10"/>
                  <w:color w:val="0000FF"/>
                </w:rPr>
                <w:t>Press Release issued by CenterPoint Energy on September 29, 2025</w:t>
              </w:r>
            </w:hyperlink>
          </w:p>
        </w:tc>
        <w:tc>
          <w:tcPr>
            <w:tcW w:w="980" w:type="dxa"/>
            <w:vAlign w:val="bottom"/>
            <w:tcBorders>
              <w:top w:val="single" w:sz="8" w:color="auto"/>
            </w:tcBorders>
          </w:tcPr>
          <w:p>
            <w:pPr>
              <w:spacing w:after="0"/>
              <w:rPr>
                <w:sz w:val="10"/>
                <w:szCs w:val="10"/>
                <w:color w:val="auto"/>
              </w:rPr>
            </w:pPr>
          </w:p>
        </w:tc>
        <w:tc>
          <w:tcPr>
            <w:tcW w:w="4020" w:type="dxa"/>
            <w:vAlign w:val="bottom"/>
          </w:tcPr>
          <w:p>
            <w:pPr>
              <w:spacing w:after="0"/>
              <w:rPr>
                <w:sz w:val="10"/>
                <w:szCs w:val="10"/>
                <w:color w:val="auto"/>
              </w:rPr>
            </w:pPr>
          </w:p>
        </w:tc>
      </w:tr>
      <w:tr>
        <w:trPr>
          <w:trHeight w:val="20"/>
        </w:trPr>
        <w:tc>
          <w:tcPr>
            <w:tcW w:w="1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13"/>
        </w:trPr>
        <w:tc>
          <w:tcPr>
            <w:tcW w:w="1220" w:type="dxa"/>
            <w:vAlign w:val="bottom"/>
            <w:gridSpan w:val="2"/>
          </w:tcPr>
          <w:p>
            <w:pPr>
              <w:jc w:val="center"/>
              <w:ind w:left="789"/>
              <w:spacing w:after="0" w:line="113" w:lineRule="exact"/>
              <w:rPr>
                <w:sz w:val="20"/>
                <w:szCs w:val="20"/>
                <w:color w:val="auto"/>
              </w:rPr>
            </w:pPr>
            <w:r>
              <w:rPr>
                <w:rFonts w:ascii="Times New Roman" w:cs="Times New Roman" w:eastAsia="Times New Roman" w:hAnsi="Times New Roman"/>
                <w:sz w:val="10"/>
                <w:szCs w:val="10"/>
                <w:color w:val="auto"/>
              </w:rPr>
              <w:t>99.2</w:t>
            </w:r>
          </w:p>
        </w:tc>
        <w:tc>
          <w:tcPr>
            <w:tcW w:w="620" w:type="dxa"/>
            <w:vAlign w:val="bottom"/>
          </w:tcPr>
          <w:p>
            <w:pPr>
              <w:spacing w:after="0"/>
              <w:rPr>
                <w:sz w:val="9"/>
                <w:szCs w:val="9"/>
                <w:color w:val="auto"/>
              </w:rPr>
            </w:pPr>
          </w:p>
        </w:tc>
        <w:tc>
          <w:tcPr>
            <w:tcW w:w="8780" w:type="dxa"/>
            <w:vAlign w:val="bottom"/>
            <w:gridSpan w:val="5"/>
          </w:tcPr>
          <w:p>
            <w:pPr>
              <w:spacing w:after="0" w:line="113" w:lineRule="exact"/>
              <w:rPr>
                <w:rFonts w:ascii="Times New Roman" w:cs="Times New Roman" w:eastAsia="Times New Roman" w:hAnsi="Times New Roman"/>
                <w:sz w:val="10"/>
                <w:szCs w:val="10"/>
                <w:color w:val="0000FF"/>
              </w:rPr>
            </w:pPr>
            <w:hyperlink w:anchor="page1">
              <w:r>
                <w:rPr>
                  <w:rFonts w:ascii="Times New Roman" w:cs="Times New Roman" w:eastAsia="Times New Roman" w:hAnsi="Times New Roman"/>
                  <w:sz w:val="10"/>
                  <w:szCs w:val="10"/>
                  <w:color w:val="0000FF"/>
                </w:rPr>
                <w:t>CenterPoint Energy Investor Update Slide Presentation dated September 29, 2025</w:t>
              </w:r>
            </w:hyperlink>
          </w:p>
        </w:tc>
      </w:tr>
      <w:tr>
        <w:trPr>
          <w:trHeight w:val="20"/>
        </w:trPr>
        <w:tc>
          <w:tcPr>
            <w:tcW w:w="1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35"/>
        </w:trPr>
        <w:tc>
          <w:tcPr>
            <w:tcW w:w="1220" w:type="dxa"/>
            <w:vAlign w:val="bottom"/>
            <w:gridSpan w:val="2"/>
          </w:tcPr>
          <w:p>
            <w:pPr>
              <w:jc w:val="center"/>
              <w:ind w:left="809"/>
              <w:spacing w:after="0"/>
              <w:rPr>
                <w:sz w:val="20"/>
                <w:szCs w:val="20"/>
                <w:color w:val="auto"/>
              </w:rPr>
            </w:pPr>
            <w:r>
              <w:rPr>
                <w:rFonts w:ascii="Times New Roman" w:cs="Times New Roman" w:eastAsia="Times New Roman" w:hAnsi="Times New Roman"/>
                <w:sz w:val="10"/>
                <w:szCs w:val="10"/>
                <w:color w:val="auto"/>
              </w:rPr>
              <w:t>104</w:t>
            </w:r>
          </w:p>
        </w:tc>
        <w:tc>
          <w:tcPr>
            <w:tcW w:w="620" w:type="dxa"/>
            <w:vAlign w:val="bottom"/>
          </w:tcPr>
          <w:p>
            <w:pPr>
              <w:spacing w:after="0"/>
              <w:rPr>
                <w:sz w:val="11"/>
                <w:szCs w:val="11"/>
                <w:color w:val="auto"/>
              </w:rPr>
            </w:pPr>
          </w:p>
        </w:tc>
        <w:tc>
          <w:tcPr>
            <w:tcW w:w="8780" w:type="dxa"/>
            <w:vAlign w:val="bottom"/>
            <w:gridSpan w:val="5"/>
          </w:tcPr>
          <w:p>
            <w:pPr>
              <w:spacing w:after="0"/>
              <w:rPr>
                <w:sz w:val="20"/>
                <w:szCs w:val="20"/>
                <w:color w:val="auto"/>
              </w:rPr>
            </w:pPr>
            <w:r>
              <w:rPr>
                <w:rFonts w:ascii="Times New Roman" w:cs="Times New Roman" w:eastAsia="Times New Roman" w:hAnsi="Times New Roman"/>
                <w:sz w:val="10"/>
                <w:szCs w:val="10"/>
                <w:color w:val="auto"/>
              </w:rPr>
              <w:t>Cover Page Interactive Data File - the cover page XBRL tags are embedded within the Inline XBRL document</w:t>
            </w:r>
          </w:p>
        </w:tc>
      </w:tr>
      <w:tr>
        <w:trPr>
          <w:trHeight w:val="563"/>
        </w:trPr>
        <w:tc>
          <w:tcPr>
            <w:tcW w:w="8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40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-22225</wp:posOffset>
            </wp:positionV>
            <wp:extent cx="6775450" cy="35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5450" cy="35560"/>
                    </a:xfrm>
                    <a:prstGeom prst="rect">
                      <a:avLst/>
                    </a:prstGeom>
                    <a:noFill/>
                  </pic:spPr>
                </pic:pic>
              </a:graphicData>
            </a:graphic>
          </wp:anchor>
        </w:drawing>
      </w:r>
    </w:p>
    <w:p>
      <w:pPr>
        <w:sectPr>
          <w:pgSz w:w="11900" w:h="16840" w:orient="portrait"/>
          <w:cols w:equalWidth="0" w:num="1">
            <w:col w:w="10620"/>
          </w:cols>
          <w:pgMar w:left="640" w:top="1006" w:right="6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0"/>
          <w:szCs w:val="10"/>
          <w:color w:val="auto"/>
        </w:rPr>
        <w:t>SIGNATURE</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Pursuant to the requirements of the Securities Exchange Act of 1934, the registrant has duly caused this report to be signed on its behalf by the undersigned hereunto duly authorized.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240" w:type="dxa"/>
            <w:vAlign w:val="bottom"/>
          </w:tcPr>
          <w:p>
            <w:pPr>
              <w:spacing w:after="0"/>
              <w:rPr>
                <w:sz w:val="11"/>
                <w:szCs w:val="11"/>
                <w:color w:val="auto"/>
              </w:rPr>
            </w:pPr>
          </w:p>
        </w:tc>
        <w:tc>
          <w:tcPr>
            <w:tcW w:w="7360" w:type="dxa"/>
            <w:vAlign w:val="bottom"/>
            <w:gridSpan w:val="2"/>
          </w:tcPr>
          <w:p>
            <w:pPr>
              <w:ind w:left="2200"/>
              <w:spacing w:after="0"/>
              <w:rPr>
                <w:sz w:val="20"/>
                <w:szCs w:val="20"/>
                <w:color w:val="auto"/>
              </w:rPr>
            </w:pPr>
            <w:r>
              <w:rPr>
                <w:rFonts w:ascii="Times New Roman" w:cs="Times New Roman" w:eastAsia="Times New Roman" w:hAnsi="Times New Roman"/>
                <w:sz w:val="10"/>
                <w:szCs w:val="10"/>
                <w:b w:val="1"/>
                <w:bCs w:val="1"/>
                <w:color w:val="auto"/>
              </w:rPr>
              <w:t>CENTERPOINT ENERGY, INC.</w:t>
            </w:r>
          </w:p>
        </w:tc>
      </w:tr>
      <w:tr>
        <w:trPr>
          <w:trHeight w:val="258"/>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Date: September 29, 2025</w:t>
            </w:r>
          </w:p>
        </w:tc>
        <w:tc>
          <w:tcPr>
            <w:tcW w:w="7360" w:type="dxa"/>
            <w:vAlign w:val="bottom"/>
            <w:gridSpan w:val="2"/>
          </w:tcPr>
          <w:p>
            <w:pPr>
              <w:ind w:left="2520"/>
              <w:spacing w:after="0"/>
              <w:rPr>
                <w:sz w:val="20"/>
                <w:szCs w:val="20"/>
                <w:color w:val="auto"/>
              </w:rPr>
            </w:pPr>
            <w:r>
              <w:rPr>
                <w:rFonts w:ascii="Times New Roman" w:cs="Times New Roman" w:eastAsia="Times New Roman" w:hAnsi="Times New Roman"/>
                <w:sz w:val="10"/>
                <w:szCs w:val="10"/>
                <w:color w:val="auto"/>
              </w:rPr>
              <w:t>By: /s/ Kristie L. Colvin</w:t>
            </w:r>
          </w:p>
        </w:tc>
      </w:tr>
      <w:tr>
        <w:trPr>
          <w:trHeight w:val="120"/>
        </w:trPr>
        <w:tc>
          <w:tcPr>
            <w:tcW w:w="32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rPr>
              <w:t>Kristie L. Colvin</w:t>
            </w:r>
          </w:p>
        </w:tc>
      </w:tr>
      <w:tr>
        <w:trPr>
          <w:trHeight w:val="133"/>
        </w:trPr>
        <w:tc>
          <w:tcPr>
            <w:tcW w:w="3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0"/>
                <w:szCs w:val="10"/>
                <w:color w:val="auto"/>
              </w:rPr>
              <w:t>Senior Vice President and Chief Accounting Officer</w:t>
            </w:r>
          </w:p>
        </w:tc>
      </w:tr>
    </w:tbl>
    <w:p>
      <w:pPr>
        <w:sectPr>
          <w:pgSz w:w="11900" w:h="16840" w:orient="portrait"/>
          <w:cols w:equalWidth="0" w:num="1">
            <w:col w:w="10600"/>
          </w:cols>
          <w:pgMar w:left="660" w:top="1008" w:right="6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1160145</wp:posOffset>
            </wp:positionH>
            <wp:positionV relativeFrom="page">
              <wp:posOffset>520700</wp:posOffset>
            </wp:positionV>
            <wp:extent cx="5228590" cy="686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28590" cy="68643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1160145</wp:posOffset>
            </wp:positionH>
            <wp:positionV relativeFrom="page">
              <wp:posOffset>614680</wp:posOffset>
            </wp:positionV>
            <wp:extent cx="5228590" cy="686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8590" cy="68643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1160145</wp:posOffset>
            </wp:positionH>
            <wp:positionV relativeFrom="page">
              <wp:posOffset>614680</wp:posOffset>
            </wp:positionV>
            <wp:extent cx="5228590" cy="6873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8590" cy="68738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1160145</wp:posOffset>
            </wp:positionH>
            <wp:positionV relativeFrom="page">
              <wp:posOffset>614680</wp:posOffset>
            </wp:positionV>
            <wp:extent cx="5228590" cy="6873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8590" cy="68738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1160145</wp:posOffset>
            </wp:positionH>
            <wp:positionV relativeFrom="page">
              <wp:posOffset>614680</wp:posOffset>
            </wp:positionV>
            <wp:extent cx="5228590" cy="6884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8590" cy="688403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1160145</wp:posOffset>
            </wp:positionH>
            <wp:positionV relativeFrom="page">
              <wp:posOffset>614680</wp:posOffset>
            </wp:positionV>
            <wp:extent cx="5228590" cy="686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8590" cy="686435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520700</wp:posOffset>
            </wp:positionV>
            <wp:extent cx="6765290" cy="2954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83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5290" cy="298323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54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5290" cy="29540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401320</wp:posOffset>
            </wp:positionH>
            <wp:positionV relativeFrom="page">
              <wp:posOffset>614680</wp:posOffset>
            </wp:positionV>
            <wp:extent cx="6765290" cy="2973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65290" cy="297370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1" w:name="page92"/>
    <w:bookmarkEnd w:id="91"/>
    <w:p>
      <w:pPr>
        <w:spacing w:after="0"/>
        <w:rPr>
          <w:sz w:val="20"/>
          <w:szCs w:val="20"/>
          <w:color w:val="auto"/>
        </w:rPr>
      </w:pPr>
    </w:p>
    <w:p>
      <w:pPr>
        <w:sectPr>
          <w:pgSz w:w="11900" w:h="16840" w:orient="portrait"/>
          <w:cols w:equalWidth="1" w:num="1" w:space="0"/>
          <w:pgMar w:left="1440" w:top="1440" w:right="1440" w:bottom="875" w:gutter="0" w:footer="0" w:header="0"/>
        </w:sectPr>
      </w:pPr>
    </w:p>
    <w:bookmarkStart w:id="92" w:name="page93"/>
    <w:bookmarkEnd w:id="9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2025-09-30T10:14:35Z</dcterms:created>
  <dcterms:modified xsi:type="dcterms:W3CDTF">2025-09-30T10:14:35Z</dcterms:modified>
</cp:coreProperties>
</file>