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200025</wp:posOffset>
            </wp:positionH>
            <wp:positionV relativeFrom="page">
              <wp:posOffset>479425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445770</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35" w:lineRule="exact"/>
        <w:rPr>
          <w:sz w:val="24"/>
          <w:szCs w:val="24"/>
          <w:color w:val="auto"/>
        </w:rPr>
      </w:pPr>
    </w:p>
    <w:p>
      <w:pPr>
        <w:ind w:left="520" w:right="3840" w:hanging="324"/>
        <w:spacing w:after="0" w:line="304" w:lineRule="auto"/>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 w:lineRule="exact"/>
        <w:rPr>
          <w:sz w:val="24"/>
          <w:szCs w:val="24"/>
          <w:color w:val="auto"/>
        </w:rPr>
      </w:pPr>
    </w:p>
    <w:p>
      <w:pPr>
        <w:ind w:left="520" w:hanging="324"/>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60" w:type="dxa"/>
            <w:vAlign w:val="bottom"/>
          </w:tcPr>
          <w:p>
            <w:pPr>
              <w:spacing w:after="0"/>
              <w:rPr>
                <w:sz w:val="13"/>
                <w:szCs w:val="13"/>
                <w:color w:val="auto"/>
              </w:rPr>
            </w:pPr>
          </w:p>
        </w:tc>
        <w:tc>
          <w:tcPr>
            <w:tcW w:w="4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3200" w:type="dxa"/>
            <w:vAlign w:val="bottom"/>
          </w:tcPr>
          <w:p>
            <w:pPr>
              <w:spacing w:after="0"/>
              <w:rPr>
                <w:sz w:val="13"/>
                <w:szCs w:val="13"/>
                <w:color w:val="auto"/>
              </w:rPr>
            </w:pPr>
          </w:p>
        </w:tc>
      </w:tr>
      <w:tr>
        <w:trPr>
          <w:trHeight w:val="279"/>
        </w:trPr>
        <w:tc>
          <w:tcPr>
            <w:tcW w:w="3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680" w:type="dxa"/>
            <w:vAlign w:val="bottom"/>
          </w:tcPr>
          <w:p>
            <w:pPr>
              <w:jc w:val="center"/>
              <w:ind w:right="1103"/>
              <w:spacing w:after="0"/>
              <w:rPr>
                <w:sz w:val="20"/>
                <w:szCs w:val="20"/>
                <w:color w:val="auto"/>
              </w:rPr>
            </w:pPr>
            <w:r>
              <w:rPr>
                <w:rFonts w:ascii="Times New Roman" w:cs="Times New Roman" w:eastAsia="Times New Roman" w:hAnsi="Times New Roman"/>
                <w:sz w:val="11"/>
                <w:szCs w:val="11"/>
                <w:b w:val="1"/>
                <w:bCs w:val="1"/>
                <w:color w:val="auto"/>
              </w:rPr>
              <w:t>Registrant, State or Other Jurisdiction</w:t>
            </w:r>
          </w:p>
        </w:tc>
        <w:tc>
          <w:tcPr>
            <w:tcW w:w="3200" w:type="dxa"/>
            <w:vAlign w:val="bottom"/>
          </w:tcPr>
          <w:p>
            <w:pPr>
              <w:spacing w:after="0"/>
              <w:rPr>
                <w:sz w:val="24"/>
                <w:szCs w:val="24"/>
                <w:color w:val="auto"/>
              </w:rPr>
            </w:pPr>
          </w:p>
        </w:tc>
      </w:tr>
      <w:tr>
        <w:trPr>
          <w:trHeight w:val="149"/>
        </w:trPr>
        <w:tc>
          <w:tcPr>
            <w:tcW w:w="3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80" w:type="dxa"/>
            <w:vAlign w:val="bottom"/>
          </w:tcPr>
          <w:p>
            <w:pPr>
              <w:jc w:val="center"/>
              <w:ind w:right="1063"/>
              <w:spacing w:after="0"/>
              <w:rPr>
                <w:sz w:val="20"/>
                <w:szCs w:val="20"/>
                <w:color w:val="auto"/>
              </w:rPr>
            </w:pPr>
            <w:r>
              <w:rPr>
                <w:rFonts w:ascii="Times New Roman" w:cs="Times New Roman" w:eastAsia="Times New Roman" w:hAnsi="Times New Roman"/>
                <w:sz w:val="11"/>
                <w:szCs w:val="11"/>
                <w:b w:val="1"/>
                <w:bCs w:val="1"/>
                <w:color w:val="auto"/>
              </w:rPr>
              <w:t>of Incorporation or Organization</w:t>
            </w:r>
          </w:p>
        </w:tc>
        <w:tc>
          <w:tcPr>
            <w:tcW w:w="3200" w:type="dxa"/>
            <w:vAlign w:val="bottom"/>
          </w:tcPr>
          <w:p>
            <w:pPr>
              <w:spacing w:after="0"/>
              <w:rPr>
                <w:sz w:val="12"/>
                <w:szCs w:val="12"/>
                <w:color w:val="auto"/>
              </w:rPr>
            </w:pPr>
          </w:p>
        </w:tc>
      </w:tr>
      <w:tr>
        <w:trPr>
          <w:trHeight w:val="117"/>
        </w:trPr>
        <w:tc>
          <w:tcPr>
            <w:tcW w:w="322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b w:val="1"/>
                <w:bCs w:val="1"/>
                <w:color w:val="auto"/>
              </w:rPr>
              <w:t>Commission file number</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80" w:type="dxa"/>
            <w:vAlign w:val="bottom"/>
          </w:tcPr>
          <w:p>
            <w:pPr>
              <w:jc w:val="center"/>
              <w:ind w:right="1103"/>
              <w:spacing w:after="0" w:line="117" w:lineRule="exact"/>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tc>
        <w:tc>
          <w:tcPr>
            <w:tcW w:w="3200" w:type="dxa"/>
            <w:vAlign w:val="bottom"/>
          </w:tcPr>
          <w:p>
            <w:pPr>
              <w:ind w:left="126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158"/>
        </w:trPr>
        <w:tc>
          <w:tcPr>
            <w:tcW w:w="3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tcPr>
          <w:p>
            <w:pPr>
              <w:jc w:val="center"/>
              <w:ind w:right="1083"/>
              <w:spacing w:after="0"/>
              <w:rPr>
                <w:sz w:val="20"/>
                <w:szCs w:val="20"/>
                <w:color w:val="auto"/>
              </w:rPr>
            </w:pPr>
            <w:r>
              <w:rPr>
                <w:rFonts w:ascii="Times New Roman" w:cs="Times New Roman" w:eastAsia="Times New Roman" w:hAnsi="Times New Roman"/>
                <w:sz w:val="11"/>
                <w:szCs w:val="11"/>
                <w:b w:val="1"/>
                <w:bCs w:val="1"/>
                <w:color w:val="auto"/>
              </w:rPr>
              <w:t>and Telephone Number</w:t>
            </w:r>
          </w:p>
        </w:tc>
        <w:tc>
          <w:tcPr>
            <w:tcW w:w="3200" w:type="dxa"/>
            <w:vAlign w:val="bottom"/>
            <w:tcBorders>
              <w:bottom w:val="single" w:sz="8" w:color="auto"/>
            </w:tcBorders>
          </w:tcPr>
          <w:p>
            <w:pPr>
              <w:spacing w:after="0"/>
              <w:rPr>
                <w:sz w:val="13"/>
                <w:szCs w:val="13"/>
                <w:color w:val="auto"/>
              </w:rPr>
            </w:pPr>
          </w:p>
        </w:tc>
      </w:tr>
    </w:tbl>
    <w:p>
      <w:pPr>
        <w:spacing w:after="0" w:line="14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3700" w:type="dxa"/>
            <w:vAlign w:val="bottom"/>
          </w:tcPr>
          <w:p>
            <w:pPr>
              <w:jc w:val="right"/>
              <w:ind w:right="3213"/>
              <w:spacing w:after="0"/>
              <w:rPr>
                <w:sz w:val="20"/>
                <w:szCs w:val="20"/>
                <w:color w:val="auto"/>
              </w:rPr>
            </w:pPr>
            <w:r>
              <w:rPr>
                <w:rFonts w:ascii="Times New Roman" w:cs="Times New Roman" w:eastAsia="Times New Roman" w:hAnsi="Times New Roman"/>
                <w:sz w:val="13"/>
                <w:szCs w:val="13"/>
                <w:b w:val="1"/>
                <w:bCs w:val="1"/>
                <w:color w:val="auto"/>
                <w:w w:val="92"/>
              </w:rPr>
              <w:t>1-31447</w:t>
            </w:r>
          </w:p>
        </w:tc>
        <w:tc>
          <w:tcPr>
            <w:tcW w:w="2500" w:type="dxa"/>
            <w:vAlign w:val="bottom"/>
          </w:tcPr>
          <w:p>
            <w:pPr>
              <w:jc w:val="center"/>
              <w:ind w:right="386"/>
              <w:spacing w:after="0"/>
              <w:rPr>
                <w:sz w:val="20"/>
                <w:szCs w:val="20"/>
                <w:color w:val="auto"/>
              </w:rPr>
            </w:pPr>
            <w:r>
              <w:rPr>
                <w:rFonts w:ascii="Times New Roman" w:cs="Times New Roman" w:eastAsia="Times New Roman" w:hAnsi="Times New Roman"/>
                <w:sz w:val="17"/>
                <w:szCs w:val="17"/>
                <w:b w:val="1"/>
                <w:bCs w:val="1"/>
                <w:color w:val="auto"/>
                <w:w w:val="98"/>
              </w:rPr>
              <w:t>CenterPoint Energy, Inc.</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74-0694415</w:t>
            </w:r>
          </w:p>
        </w:tc>
      </w:tr>
      <w:tr>
        <w:trPr>
          <w:trHeight w:val="180"/>
        </w:trPr>
        <w:tc>
          <w:tcPr>
            <w:tcW w:w="3700" w:type="dxa"/>
            <w:vAlign w:val="bottom"/>
          </w:tcPr>
          <w:p>
            <w:pPr>
              <w:spacing w:after="0"/>
              <w:rPr>
                <w:sz w:val="15"/>
                <w:szCs w:val="15"/>
                <w:color w:val="auto"/>
              </w:rPr>
            </w:pPr>
          </w:p>
        </w:tc>
        <w:tc>
          <w:tcPr>
            <w:tcW w:w="25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w w:val="99"/>
              </w:rPr>
              <w:t>(a Texas corporation)</w:t>
            </w:r>
          </w:p>
        </w:tc>
        <w:tc>
          <w:tcPr>
            <w:tcW w:w="332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25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w w:val="97"/>
              </w:rPr>
              <w:t>1111 Louisiana</w:t>
            </w:r>
          </w:p>
        </w:tc>
        <w:tc>
          <w:tcPr>
            <w:tcW w:w="3320" w:type="dxa"/>
            <w:vAlign w:val="bottom"/>
          </w:tcPr>
          <w:p>
            <w:pPr>
              <w:spacing w:after="0"/>
              <w:rPr>
                <w:sz w:val="15"/>
                <w:szCs w:val="15"/>
                <w:color w:val="auto"/>
              </w:rPr>
            </w:pPr>
          </w:p>
        </w:tc>
      </w:tr>
      <w:tr>
        <w:trPr>
          <w:trHeight w:val="186"/>
        </w:trPr>
        <w:tc>
          <w:tcPr>
            <w:tcW w:w="37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25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rPr>
              <w:t>Texas</w:t>
            </w:r>
          </w:p>
        </w:tc>
        <w:tc>
          <w:tcPr>
            <w:tcW w:w="3320" w:type="dxa"/>
            <w:vAlign w:val="bottom"/>
          </w:tcPr>
          <w:p>
            <w:pPr>
              <w:jc w:val="right"/>
              <w:ind w:right="2313"/>
              <w:spacing w:after="0"/>
              <w:rPr>
                <w:sz w:val="20"/>
                <w:szCs w:val="20"/>
                <w:color w:val="auto"/>
              </w:rPr>
            </w:pPr>
            <w:r>
              <w:rPr>
                <w:rFonts w:ascii="Times New Roman" w:cs="Times New Roman" w:eastAsia="Times New Roman" w:hAnsi="Times New Roman"/>
                <w:sz w:val="14"/>
                <w:szCs w:val="14"/>
                <w:b w:val="1"/>
                <w:bCs w:val="1"/>
                <w:color w:val="auto"/>
              </w:rPr>
              <w:t>77002</w:t>
            </w:r>
          </w:p>
        </w:tc>
      </w:tr>
    </w:tbl>
    <w:p>
      <w:pPr>
        <w:ind w:left="5400" w:hanging="1185"/>
        <w:spacing w:after="0"/>
        <w:tabs>
          <w:tab w:leader="none" w:pos="540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66"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1700" w:type="dxa"/>
            <w:vAlign w:val="bottom"/>
          </w:tcPr>
          <w:p>
            <w:pPr>
              <w:jc w:val="right"/>
              <w:ind w:right="1276"/>
              <w:spacing w:after="0"/>
              <w:rPr>
                <w:sz w:val="20"/>
                <w:szCs w:val="20"/>
                <w:color w:val="auto"/>
              </w:rPr>
            </w:pPr>
            <w:r>
              <w:rPr>
                <w:rFonts w:ascii="Times New Roman" w:cs="Times New Roman" w:eastAsia="Times New Roman" w:hAnsi="Times New Roman"/>
                <w:sz w:val="13"/>
                <w:szCs w:val="13"/>
                <w:b w:val="1"/>
                <w:bCs w:val="1"/>
                <w:color w:val="auto"/>
                <w:w w:val="92"/>
              </w:rPr>
              <w:t>1-3187</w:t>
            </w:r>
          </w:p>
        </w:tc>
        <w:tc>
          <w:tcPr>
            <w:tcW w:w="4820" w:type="dxa"/>
            <w:vAlign w:val="bottom"/>
            <w:gridSpan w:val="2"/>
          </w:tcPr>
          <w:p>
            <w:pPr>
              <w:jc w:val="center"/>
              <w:ind w:left="1102"/>
              <w:spacing w:after="0"/>
              <w:rPr>
                <w:sz w:val="20"/>
                <w:szCs w:val="20"/>
                <w:color w:val="auto"/>
              </w:rPr>
            </w:pPr>
            <w:r>
              <w:rPr>
                <w:rFonts w:ascii="Times New Roman" w:cs="Times New Roman" w:eastAsia="Times New Roman" w:hAnsi="Times New Roman"/>
                <w:sz w:val="17"/>
                <w:szCs w:val="17"/>
                <w:b w:val="1"/>
                <w:bCs w:val="1"/>
                <w:color w:val="auto"/>
              </w:rPr>
              <w:t>CenterPoint Energy Houston Electric, LLC</w:t>
            </w:r>
          </w:p>
        </w:tc>
        <w:tc>
          <w:tcPr>
            <w:tcW w:w="2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22-3865106</w:t>
            </w:r>
          </w:p>
        </w:tc>
      </w:tr>
      <w:tr>
        <w:trPr>
          <w:trHeight w:val="180"/>
        </w:trPr>
        <w:tc>
          <w:tcPr>
            <w:tcW w:w="1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920" w:type="dxa"/>
            <w:vAlign w:val="bottom"/>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(a Texas limited liability company)</w:t>
            </w:r>
          </w:p>
        </w:tc>
        <w:tc>
          <w:tcPr>
            <w:tcW w:w="2980" w:type="dxa"/>
            <w:vAlign w:val="bottom"/>
          </w:tcPr>
          <w:p>
            <w:pPr>
              <w:spacing w:after="0"/>
              <w:rPr>
                <w:sz w:val="15"/>
                <w:szCs w:val="15"/>
                <w:color w:val="auto"/>
              </w:rPr>
            </w:pPr>
          </w:p>
        </w:tc>
      </w:tr>
      <w:tr>
        <w:trPr>
          <w:trHeight w:val="180"/>
        </w:trPr>
        <w:tc>
          <w:tcPr>
            <w:tcW w:w="1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920" w:type="dxa"/>
            <w:vAlign w:val="bottom"/>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w w:val="97"/>
              </w:rPr>
              <w:t>1111 Louisiana</w:t>
            </w:r>
          </w:p>
        </w:tc>
        <w:tc>
          <w:tcPr>
            <w:tcW w:w="2980" w:type="dxa"/>
            <w:vAlign w:val="bottom"/>
          </w:tcPr>
          <w:p>
            <w:pPr>
              <w:spacing w:after="0"/>
              <w:rPr>
                <w:sz w:val="15"/>
                <w:szCs w:val="15"/>
                <w:color w:val="auto"/>
              </w:rPr>
            </w:pPr>
          </w:p>
        </w:tc>
      </w:tr>
      <w:tr>
        <w:trPr>
          <w:trHeight w:val="186"/>
        </w:trPr>
        <w:tc>
          <w:tcPr>
            <w:tcW w:w="1700" w:type="dxa"/>
            <w:vAlign w:val="bottom"/>
          </w:tcPr>
          <w:p>
            <w:pPr>
              <w:spacing w:after="0"/>
              <w:rPr>
                <w:sz w:val="16"/>
                <w:szCs w:val="16"/>
                <w:color w:val="auto"/>
              </w:rPr>
            </w:pPr>
          </w:p>
        </w:tc>
        <w:tc>
          <w:tcPr>
            <w:tcW w:w="190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2920" w:type="dxa"/>
            <w:vAlign w:val="bottom"/>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980" w:type="dxa"/>
            <w:vAlign w:val="bottom"/>
          </w:tcPr>
          <w:p>
            <w:pPr>
              <w:jc w:val="right"/>
              <w:ind w:right="2313"/>
              <w:spacing w:after="0"/>
              <w:rPr>
                <w:sz w:val="20"/>
                <w:szCs w:val="20"/>
                <w:color w:val="auto"/>
              </w:rPr>
            </w:pPr>
            <w:r>
              <w:rPr>
                <w:rFonts w:ascii="Times New Roman" w:cs="Times New Roman" w:eastAsia="Times New Roman" w:hAnsi="Times New Roman"/>
                <w:sz w:val="14"/>
                <w:szCs w:val="14"/>
                <w:b w:val="1"/>
                <w:bCs w:val="1"/>
                <w:color w:val="auto"/>
              </w:rPr>
              <w:t>77002</w:t>
            </w:r>
          </w:p>
        </w:tc>
      </w:tr>
    </w:tbl>
    <w:p>
      <w:pPr>
        <w:ind w:left="5400" w:hanging="1185"/>
        <w:spacing w:after="0"/>
        <w:tabs>
          <w:tab w:leader="none" w:pos="540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66"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1720" w:type="dxa"/>
            <w:vAlign w:val="bottom"/>
          </w:tcPr>
          <w:p>
            <w:pPr>
              <w:jc w:val="right"/>
              <w:ind w:right="1236"/>
              <w:spacing w:after="0"/>
              <w:rPr>
                <w:sz w:val="20"/>
                <w:szCs w:val="20"/>
                <w:color w:val="auto"/>
              </w:rPr>
            </w:pPr>
            <w:r>
              <w:rPr>
                <w:rFonts w:ascii="Times New Roman" w:cs="Times New Roman" w:eastAsia="Times New Roman" w:hAnsi="Times New Roman"/>
                <w:sz w:val="13"/>
                <w:szCs w:val="13"/>
                <w:b w:val="1"/>
                <w:bCs w:val="1"/>
                <w:color w:val="auto"/>
                <w:w w:val="92"/>
              </w:rPr>
              <w:t>1-13265</w:t>
            </w:r>
          </w:p>
        </w:tc>
        <w:tc>
          <w:tcPr>
            <w:tcW w:w="4700" w:type="dxa"/>
            <w:vAlign w:val="bottom"/>
            <w:gridSpan w:val="2"/>
          </w:tcPr>
          <w:p>
            <w:pPr>
              <w:jc w:val="center"/>
              <w:ind w:left="1222"/>
              <w:spacing w:after="0"/>
              <w:rPr>
                <w:sz w:val="20"/>
                <w:szCs w:val="20"/>
                <w:color w:val="auto"/>
              </w:rPr>
            </w:pPr>
            <w:r>
              <w:rPr>
                <w:rFonts w:ascii="Times New Roman" w:cs="Times New Roman" w:eastAsia="Times New Roman" w:hAnsi="Times New Roman"/>
                <w:sz w:val="17"/>
                <w:szCs w:val="17"/>
                <w:b w:val="1"/>
                <w:bCs w:val="1"/>
                <w:color w:val="auto"/>
                <w:w w:val="99"/>
              </w:rPr>
              <w:t>CenterPoint Energy Resources Corp.</w:t>
            </w:r>
          </w:p>
        </w:tc>
        <w:tc>
          <w:tcPr>
            <w:tcW w:w="3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76-0511406</w:t>
            </w:r>
          </w:p>
        </w:tc>
      </w:tr>
      <w:tr>
        <w:trPr>
          <w:trHeight w:val="180"/>
        </w:trPr>
        <w:tc>
          <w:tcPr>
            <w:tcW w:w="1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4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(a Delaware corporation)</w:t>
            </w:r>
          </w:p>
        </w:tc>
        <w:tc>
          <w:tcPr>
            <w:tcW w:w="3100" w:type="dxa"/>
            <w:vAlign w:val="bottom"/>
          </w:tcPr>
          <w:p>
            <w:pPr>
              <w:spacing w:after="0"/>
              <w:rPr>
                <w:sz w:val="15"/>
                <w:szCs w:val="15"/>
                <w:color w:val="auto"/>
              </w:rPr>
            </w:pPr>
          </w:p>
        </w:tc>
      </w:tr>
      <w:tr>
        <w:trPr>
          <w:trHeight w:val="180"/>
        </w:trPr>
        <w:tc>
          <w:tcPr>
            <w:tcW w:w="1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4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w w:val="97"/>
              </w:rPr>
              <w:t>1111 Louisiana</w:t>
            </w:r>
          </w:p>
        </w:tc>
        <w:tc>
          <w:tcPr>
            <w:tcW w:w="3100" w:type="dxa"/>
            <w:vAlign w:val="bottom"/>
          </w:tcPr>
          <w:p>
            <w:pPr>
              <w:spacing w:after="0"/>
              <w:rPr>
                <w:sz w:val="15"/>
                <w:szCs w:val="15"/>
                <w:color w:val="auto"/>
              </w:rPr>
            </w:pPr>
          </w:p>
        </w:tc>
      </w:tr>
      <w:tr>
        <w:trPr>
          <w:trHeight w:val="186"/>
        </w:trPr>
        <w:tc>
          <w:tcPr>
            <w:tcW w:w="1720" w:type="dxa"/>
            <w:vAlign w:val="bottom"/>
          </w:tcPr>
          <w:p>
            <w:pPr>
              <w:spacing w:after="0"/>
              <w:rPr>
                <w:sz w:val="16"/>
                <w:szCs w:val="16"/>
                <w:color w:val="auto"/>
              </w:rPr>
            </w:pPr>
          </w:p>
        </w:tc>
        <w:tc>
          <w:tcPr>
            <w:tcW w:w="20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264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Texas</w:t>
            </w:r>
          </w:p>
        </w:tc>
        <w:tc>
          <w:tcPr>
            <w:tcW w:w="3100" w:type="dxa"/>
            <w:vAlign w:val="bottom"/>
          </w:tcPr>
          <w:p>
            <w:pPr>
              <w:jc w:val="right"/>
              <w:ind w:right="2313"/>
              <w:spacing w:after="0"/>
              <w:rPr>
                <w:sz w:val="20"/>
                <w:szCs w:val="20"/>
                <w:color w:val="auto"/>
              </w:rPr>
            </w:pPr>
            <w:r>
              <w:rPr>
                <w:rFonts w:ascii="Times New Roman" w:cs="Times New Roman" w:eastAsia="Times New Roman" w:hAnsi="Times New Roman"/>
                <w:sz w:val="14"/>
                <w:szCs w:val="14"/>
                <w:b w:val="1"/>
                <w:bCs w:val="1"/>
                <w:color w:val="auto"/>
              </w:rPr>
              <w:t>77002</w:t>
            </w:r>
          </w:p>
        </w:tc>
      </w:tr>
    </w:tbl>
    <w:p>
      <w:pPr>
        <w:ind w:left="5400" w:hanging="1185"/>
        <w:spacing w:after="0"/>
        <w:tabs>
          <w:tab w:leader="none" w:pos="540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3" w:lineRule="exact"/>
        <w:rPr>
          <w:sz w:val="24"/>
          <w:szCs w:val="24"/>
          <w:color w:val="auto"/>
        </w:rPr>
      </w:pPr>
    </w:p>
    <w:tbl>
      <w:tblPr>
        <w:tblLayout w:type="fixed"/>
        <w:tblInd w:w="840" w:type="dxa"/>
        <w:tblCellMar>
          <w:top w:w="0" w:type="dxa"/>
          <w:left w:w="0" w:type="dxa"/>
          <w:bottom w:w="0" w:type="dxa"/>
          <w:right w:w="0" w:type="dxa"/>
        </w:tblCellMar>
      </w:tblPr>
      <w:tr>
        <w:trPr>
          <w:trHeight w:val="126"/>
        </w:trPr>
        <w:tc>
          <w:tcPr>
            <w:tcW w:w="720" w:type="dxa"/>
            <w:vAlign w:val="bottom"/>
          </w:tcPr>
          <w:p>
            <w:pPr>
              <w:spacing w:after="0"/>
              <w:rPr>
                <w:sz w:val="10"/>
                <w:szCs w:val="10"/>
                <w:color w:val="auto"/>
              </w:rPr>
            </w:pPr>
          </w:p>
        </w:tc>
        <w:tc>
          <w:tcPr>
            <w:tcW w:w="2360" w:type="dxa"/>
            <w:vAlign w:val="bottom"/>
            <w:gridSpan w:val="2"/>
          </w:tcPr>
          <w:p>
            <w:pPr>
              <w:jc w:val="center"/>
              <w:ind w:right="186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1640" w:type="dxa"/>
            <w:vAlign w:val="bottom"/>
          </w:tcPr>
          <w:p>
            <w:pPr>
              <w:spacing w:after="0"/>
              <w:rPr>
                <w:sz w:val="10"/>
                <w:szCs w:val="10"/>
                <w:color w:val="auto"/>
              </w:rPr>
            </w:pPr>
          </w:p>
        </w:tc>
        <w:tc>
          <w:tcPr>
            <w:tcW w:w="2200" w:type="dxa"/>
            <w:vAlign w:val="bottom"/>
            <w:gridSpan w:val="2"/>
          </w:tcPr>
          <w:p>
            <w:pPr>
              <w:jc w:val="center"/>
              <w:ind w:right="13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40" w:type="dxa"/>
            <w:vAlign w:val="bottom"/>
          </w:tcPr>
          <w:p>
            <w:pPr>
              <w:spacing w:after="0"/>
              <w:rPr>
                <w:sz w:val="10"/>
                <w:szCs w:val="10"/>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1820" w:type="dxa"/>
            <w:vAlign w:val="bottom"/>
            <w:gridSpan w:val="5"/>
          </w:tcPr>
          <w:p>
            <w:pPr>
              <w:jc w:val="center"/>
              <w:ind w:left="163"/>
              <w:spacing w:after="0"/>
              <w:rPr>
                <w:sz w:val="20"/>
                <w:szCs w:val="20"/>
                <w:color w:val="auto"/>
              </w:rPr>
            </w:pPr>
            <w:r>
              <w:rPr>
                <w:rFonts w:ascii="Times New Roman" w:cs="Times New Roman" w:eastAsia="Times New Roman" w:hAnsi="Times New Roman"/>
                <w:sz w:val="11"/>
                <w:szCs w:val="11"/>
                <w:b w:val="1"/>
                <w:bCs w:val="1"/>
                <w:color w:val="auto"/>
              </w:rPr>
              <w:t>Name of each exchange on which</w:t>
            </w:r>
          </w:p>
        </w:tc>
      </w:tr>
      <w:tr>
        <w:trPr>
          <w:trHeight w:val="97"/>
        </w:trPr>
        <w:tc>
          <w:tcPr>
            <w:tcW w:w="7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83"/>
              </w:rPr>
              <w:t>symbol(s)</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top w:val="single" w:sz="8" w:color="auto"/>
            </w:tcBorders>
            <w:gridSpan w:val="3"/>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registered</w:t>
            </w:r>
          </w:p>
        </w:tc>
        <w:tc>
          <w:tcPr>
            <w:tcW w:w="20" w:type="dxa"/>
            <w:vAlign w:val="bottom"/>
          </w:tcPr>
          <w:p>
            <w:pPr>
              <w:spacing w:after="0"/>
              <w:rPr>
                <w:sz w:val="8"/>
                <w:szCs w:val="8"/>
                <w:color w:val="auto"/>
              </w:rPr>
            </w:pPr>
          </w:p>
        </w:tc>
      </w:tr>
      <w:tr>
        <w:trPr>
          <w:trHeight w:val="20"/>
        </w:trPr>
        <w:tc>
          <w:tcPr>
            <w:tcW w:w="3080" w:type="dxa"/>
            <w:vAlign w:val="bottom"/>
            <w:gridSpan w:val="3"/>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3080" w:type="dxa"/>
            <w:vAlign w:val="bottom"/>
            <w:gridSpan w:val="3"/>
          </w:tcPr>
          <w:p>
            <w:pPr>
              <w:jc w:val="center"/>
              <w:ind w:right="1120"/>
              <w:spacing w:after="0"/>
              <w:rPr>
                <w:sz w:val="20"/>
                <w:szCs w:val="20"/>
                <w:color w:val="auto"/>
              </w:rPr>
            </w:pPr>
            <w:r>
              <w:rPr>
                <w:rFonts w:ascii="Times New Roman" w:cs="Times New Roman" w:eastAsia="Times New Roman" w:hAnsi="Times New Roman"/>
                <w:sz w:val="11"/>
                <w:szCs w:val="11"/>
                <w:color w:val="auto"/>
              </w:rPr>
              <w:t>CenterPoint Energy, Inc.</w:t>
            </w:r>
          </w:p>
        </w:tc>
        <w:tc>
          <w:tcPr>
            <w:tcW w:w="3840" w:type="dxa"/>
            <w:vAlign w:val="bottom"/>
            <w:gridSpan w:val="3"/>
          </w:tcPr>
          <w:p>
            <w:pPr>
              <w:jc w:val="center"/>
              <w:ind w:left="243"/>
              <w:spacing w:after="0"/>
              <w:rPr>
                <w:sz w:val="20"/>
                <w:szCs w:val="20"/>
                <w:color w:val="auto"/>
              </w:rPr>
            </w:pPr>
            <w:r>
              <w:rPr>
                <w:rFonts w:ascii="Times New Roman" w:cs="Times New Roman" w:eastAsia="Times New Roman" w:hAnsi="Times New Roman"/>
                <w:sz w:val="11"/>
                <w:szCs w:val="11"/>
                <w:color w:val="auto"/>
              </w:rPr>
              <w:t>Common Stock, $0.01 par value</w:t>
            </w:r>
          </w:p>
        </w:tc>
        <w:tc>
          <w:tcPr>
            <w:tcW w:w="840" w:type="dxa"/>
            <w:vAlign w:val="bottom"/>
          </w:tcPr>
          <w:p>
            <w:pPr>
              <w:spacing w:after="0"/>
              <w:rPr>
                <w:sz w:val="13"/>
                <w:szCs w:val="13"/>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CNP</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NYSE Texas</w:t>
            </w:r>
          </w:p>
        </w:tc>
      </w:tr>
      <w:tr>
        <w:trPr>
          <w:trHeight w:val="159"/>
        </w:trPr>
        <w:tc>
          <w:tcPr>
            <w:tcW w:w="3080" w:type="dxa"/>
            <w:vAlign w:val="bottom"/>
            <w:gridSpan w:val="3"/>
          </w:tcPr>
          <w:p>
            <w:pPr>
              <w:jc w:val="center"/>
              <w:ind w:right="1120"/>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3840" w:type="dxa"/>
            <w:vAlign w:val="bottom"/>
            <w:gridSpan w:val="3"/>
          </w:tcPr>
          <w:p>
            <w:pPr>
              <w:jc w:val="center"/>
              <w:ind w:left="243"/>
              <w:spacing w:after="0"/>
              <w:rPr>
                <w:sz w:val="20"/>
                <w:szCs w:val="20"/>
                <w:color w:val="auto"/>
              </w:rPr>
            </w:pPr>
            <w:r>
              <w:rPr>
                <w:rFonts w:ascii="Times New Roman" w:cs="Times New Roman" w:eastAsia="Times New Roman" w:hAnsi="Times New Roman"/>
                <w:sz w:val="11"/>
                <w:szCs w:val="11"/>
                <w:color w:val="auto"/>
              </w:rPr>
              <w:t>6.95% General Mortgage Bonds due 2033</w:t>
            </w:r>
          </w:p>
        </w:tc>
        <w:tc>
          <w:tcPr>
            <w:tcW w:w="840" w:type="dxa"/>
            <w:vAlign w:val="bottom"/>
          </w:tcPr>
          <w:p>
            <w:pPr>
              <w:spacing w:after="0"/>
              <w:rPr>
                <w:sz w:val="13"/>
                <w:szCs w:val="13"/>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n/a</w:t>
            </w:r>
          </w:p>
        </w:tc>
        <w:tc>
          <w:tcPr>
            <w:tcW w:w="220" w:type="dxa"/>
            <w:vAlign w:val="bottom"/>
          </w:tcPr>
          <w:p>
            <w:pPr>
              <w:spacing w:after="0"/>
              <w:rPr>
                <w:sz w:val="13"/>
                <w:szCs w:val="13"/>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3080" w:type="dxa"/>
            <w:vAlign w:val="bottom"/>
            <w:gridSpan w:val="3"/>
          </w:tcPr>
          <w:p>
            <w:pPr>
              <w:jc w:val="center"/>
              <w:ind w:right="1140"/>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3840" w:type="dxa"/>
            <w:vAlign w:val="bottom"/>
            <w:gridSpan w:val="3"/>
          </w:tcPr>
          <w:p>
            <w:pPr>
              <w:jc w:val="center"/>
              <w:ind w:left="243"/>
              <w:spacing w:after="0"/>
              <w:rPr>
                <w:sz w:val="20"/>
                <w:szCs w:val="20"/>
                <w:color w:val="auto"/>
              </w:rPr>
            </w:pPr>
            <w:r>
              <w:rPr>
                <w:rFonts w:ascii="Times New Roman" w:cs="Times New Roman" w:eastAsia="Times New Roman" w:hAnsi="Times New Roman"/>
                <w:sz w:val="11"/>
                <w:szCs w:val="11"/>
                <w:color w:val="auto"/>
              </w:rPr>
              <w:t>6.625% Senior Notes due 2037</w:t>
            </w:r>
          </w:p>
        </w:tc>
        <w:tc>
          <w:tcPr>
            <w:tcW w:w="840" w:type="dxa"/>
            <w:vAlign w:val="bottom"/>
          </w:tcPr>
          <w:p>
            <w:pPr>
              <w:spacing w:after="0"/>
              <w:rPr>
                <w:sz w:val="13"/>
                <w:szCs w:val="13"/>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n/a</w:t>
            </w:r>
          </w:p>
        </w:tc>
        <w:tc>
          <w:tcPr>
            <w:tcW w:w="220" w:type="dxa"/>
            <w:vAlign w:val="bottom"/>
          </w:tcPr>
          <w:p>
            <w:pPr>
              <w:spacing w:after="0"/>
              <w:rPr>
                <w:sz w:val="13"/>
                <w:szCs w:val="13"/>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None</w:t>
      </w:r>
    </w:p>
    <w:p>
      <w:pPr>
        <w:spacing w:after="0" w:line="28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0"/>
          <w:szCs w:val="10"/>
          <w:color w:val="auto"/>
        </w:rPr>
        <w:t>Indicate by check mark if the registrant is a well-known seasoned issuer, as defined in Rule 405 of the Securities Act.</w:t>
      </w:r>
    </w:p>
    <w:p>
      <w:pPr>
        <w:sectPr>
          <w:pgSz w:w="11900" w:h="16838" w:orient="portrait"/>
          <w:cols w:equalWidth="0" w:num="1">
            <w:col w:w="11280"/>
          </w:cols>
          <w:pgMar w:left="300" w:top="799" w:right="319" w:bottom="1440" w:gutter="0" w:footer="0" w:header="0"/>
        </w:sectPr>
      </w:pPr>
    </w:p>
    <w:p>
      <w:pPr>
        <w:spacing w:after="0" w:line="10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0"/>
          <w:szCs w:val="10"/>
          <w:color w:val="auto"/>
        </w:rPr>
        <w:t>CenterPoint Energy, Inc.</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9"/>
          <w:szCs w:val="9"/>
          <w:color w:val="auto"/>
        </w:rPr>
        <w:t>CenterPoint Energy Houston Electric, LLC</w:t>
      </w:r>
    </w:p>
    <w:p>
      <w:pPr>
        <w:spacing w:after="0" w:line="3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0"/>
          <w:szCs w:val="10"/>
          <w:color w:val="auto"/>
        </w:rPr>
        <w:t>CenterPoint Energy Resources Corp.</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Yes</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Yes</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Yes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tabs>
          <w:tab w:leader="none" w:pos="380" w:val="left"/>
        </w:tabs>
        <w:rPr>
          <w:sz w:val="20"/>
          <w:szCs w:val="20"/>
          <w:color w:val="auto"/>
        </w:rPr>
      </w:pP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9"/>
          <w:szCs w:val="9"/>
          <w:color w:val="auto"/>
        </w:rPr>
        <w:t xml:space="preserve">No </w:t>
      </w:r>
      <w:r>
        <w:rPr>
          <w:rFonts w:ascii="Wingdings" w:cs="Wingdings" w:eastAsia="Wingdings" w:hAnsi="Wingdings"/>
          <w:sz w:val="9"/>
          <w:szCs w:val="9"/>
          <w:b w:val="1"/>
          <w:bCs w:val="1"/>
          <w:color w:val="auto"/>
        </w:rPr>
        <w:t>o</w:t>
      </w:r>
    </w:p>
    <w:p>
      <w:pPr>
        <w:spacing w:after="0" w:line="62" w:lineRule="exact"/>
        <w:rPr>
          <w:sz w:val="24"/>
          <w:szCs w:val="24"/>
          <w:color w:val="auto"/>
        </w:rPr>
      </w:pPr>
    </w:p>
    <w:p>
      <w:pPr>
        <w:spacing w:after="0"/>
        <w:tabs>
          <w:tab w:leader="none" w:pos="380" w:val="left"/>
        </w:tabs>
        <w:rPr>
          <w:sz w:val="20"/>
          <w:szCs w:val="20"/>
          <w:color w:val="auto"/>
        </w:rPr>
      </w:pP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9"/>
          <w:szCs w:val="9"/>
          <w:color w:val="auto"/>
        </w:rPr>
        <w:t xml:space="preserve">No </w:t>
      </w:r>
      <w:r>
        <w:rPr>
          <w:rFonts w:ascii="Wingdings" w:cs="Wingdings" w:eastAsia="Wingdings" w:hAnsi="Wingdings"/>
          <w:sz w:val="9"/>
          <w:szCs w:val="9"/>
          <w:b w:val="1"/>
          <w:bCs w:val="1"/>
          <w:color w:val="auto"/>
        </w:rPr>
        <w:t>o</w:t>
      </w:r>
    </w:p>
    <w:p>
      <w:pPr>
        <w:spacing w:after="0" w:line="34" w:lineRule="exact"/>
        <w:rPr>
          <w:sz w:val="24"/>
          <w:szCs w:val="24"/>
          <w:color w:val="auto"/>
        </w:rPr>
      </w:pPr>
    </w:p>
    <w:p>
      <w:pPr>
        <w:spacing w:after="0"/>
        <w:tabs>
          <w:tab w:leader="none" w:pos="380" w:val="left"/>
        </w:tabs>
        <w:rPr>
          <w:sz w:val="20"/>
          <w:szCs w:val="20"/>
          <w:color w:val="auto"/>
        </w:rPr>
      </w:pP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9"/>
          <w:szCs w:val="9"/>
          <w:color w:val="auto"/>
        </w:rPr>
        <w:t xml:space="preserve">No </w:t>
      </w:r>
      <w:r>
        <w:rPr>
          <w:rFonts w:ascii="Wingdings" w:cs="Wingdings" w:eastAsia="Wingdings" w:hAnsi="Wingdings"/>
          <w:sz w:val="9"/>
          <w:szCs w:val="9"/>
          <w:b w:val="1"/>
          <w:bCs w:val="1"/>
          <w:color w:val="auto"/>
        </w:rPr>
        <w:t>o</w:t>
      </w:r>
    </w:p>
    <w:p>
      <w:pPr>
        <w:spacing w:after="0" w:line="207" w:lineRule="exact"/>
        <w:rPr>
          <w:sz w:val="24"/>
          <w:szCs w:val="24"/>
          <w:color w:val="auto"/>
        </w:rPr>
      </w:pPr>
    </w:p>
    <w:p>
      <w:pPr>
        <w:sectPr>
          <w:pgSz w:w="11900" w:h="16838" w:orient="portrait"/>
          <w:cols w:equalWidth="0" w:num="3">
            <w:col w:w="5740" w:space="720"/>
            <w:col w:w="140" w:space="220"/>
            <w:col w:w="4460"/>
          </w:cols>
          <w:pgMar w:left="300" w:top="799" w:right="319" w:bottom="1440" w:gutter="0" w:footer="0" w:header="0"/>
          <w:type w:val="continuous"/>
        </w:sectPr>
      </w:pP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28"/>
        </w:trPr>
        <w:tc>
          <w:tcPr>
            <w:tcW w:w="59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Indicate by check mark if the registrant is not required to file reports pursuant to Section 13 or Section 15(d) of the Act.</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209"/>
        </w:trPr>
        <w:tc>
          <w:tcPr>
            <w:tcW w:w="5980" w:type="dxa"/>
            <w:vAlign w:val="bottom"/>
          </w:tcPr>
          <w:p>
            <w:pPr>
              <w:ind w:left="3680"/>
              <w:spacing w:after="0"/>
              <w:rPr>
                <w:sz w:val="20"/>
                <w:szCs w:val="20"/>
                <w:color w:val="auto"/>
              </w:rPr>
            </w:pPr>
            <w:r>
              <w:rPr>
                <w:rFonts w:ascii="Times New Roman" w:cs="Times New Roman" w:eastAsia="Times New Roman" w:hAnsi="Times New Roman"/>
                <w:sz w:val="10"/>
                <w:szCs w:val="10"/>
                <w:color w:val="auto"/>
              </w:rPr>
              <w:t>CenterPoint Energy, Inc.</w:t>
            </w:r>
          </w:p>
        </w:tc>
        <w:tc>
          <w:tcPr>
            <w:tcW w:w="9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p>
        </w:tc>
        <w:tc>
          <w:tcPr>
            <w:tcW w:w="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w:t>
            </w:r>
          </w:p>
        </w:tc>
        <w:tc>
          <w:tcPr>
            <w:tcW w:w="39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r>
      <w:tr>
        <w:trPr>
          <w:trHeight w:val="138"/>
        </w:trPr>
        <w:tc>
          <w:tcPr>
            <w:tcW w:w="5980" w:type="dxa"/>
            <w:vAlign w:val="bottom"/>
          </w:tcPr>
          <w:p>
            <w:pPr>
              <w:ind w:left="3680"/>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9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p>
        </w:tc>
        <w:tc>
          <w:tcPr>
            <w:tcW w:w="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w:t>
            </w:r>
          </w:p>
        </w:tc>
        <w:tc>
          <w:tcPr>
            <w:tcW w:w="39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r>
      <w:tr>
        <w:trPr>
          <w:trHeight w:val="166"/>
        </w:trPr>
        <w:tc>
          <w:tcPr>
            <w:tcW w:w="5980" w:type="dxa"/>
            <w:vAlign w:val="bottom"/>
          </w:tcPr>
          <w:p>
            <w:pPr>
              <w:ind w:left="3680"/>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9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p>
        </w:tc>
        <w:tc>
          <w:tcPr>
            <w:tcW w:w="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w:t>
            </w:r>
          </w:p>
        </w:tc>
        <w:tc>
          <w:tcPr>
            <w:tcW w:w="39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r>
      <w:tr>
        <w:trPr>
          <w:trHeight w:val="541"/>
        </w:trPr>
        <w:tc>
          <w:tcPr>
            <w:tcW w:w="59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9" w:right="319" w:bottom="1440" w:gutter="0" w:footer="0" w:header="0"/>
          <w:type w:val="continuous"/>
        </w:sectPr>
      </w:pPr>
    </w:p>
    <w:bookmarkStart w:id="1" w:name="page2"/>
    <w:bookmarkEnd w:id="1"/>
    <w:p>
      <w:pPr>
        <w:ind w:firstLine="127"/>
        <w:spacing w:after="0" w:line="271" w:lineRule="auto"/>
        <w:rPr>
          <w:sz w:val="20"/>
          <w:szCs w:val="20"/>
          <w:color w:val="auto"/>
        </w:rPr>
      </w:pPr>
      <w:r>
        <w:rPr>
          <w:rFonts w:ascii="Times New Roman" w:cs="Times New Roman" w:eastAsia="Times New Roman" w:hAnsi="Times New Roman"/>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3680" w:type="dxa"/>
        <w:tblCellMar>
          <w:top w:w="0" w:type="dxa"/>
          <w:left w:w="0" w:type="dxa"/>
          <w:bottom w:w="0" w:type="dxa"/>
          <w:right w:w="0" w:type="dxa"/>
        </w:tblCellMar>
      </w:tblPr>
      <w:tr>
        <w:trPr>
          <w:trHeight w:val="13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r>
        <w:trPr>
          <w:trHeight w:val="13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r>
        <w:trPr>
          <w:trHeight w:val="166"/>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bl>
    <w:p>
      <w:pPr>
        <w:spacing w:after="0" w:line="250" w:lineRule="exact"/>
        <w:rPr>
          <w:sz w:val="20"/>
          <w:szCs w:val="20"/>
          <w:color w:val="auto"/>
        </w:rPr>
      </w:pPr>
    </w:p>
    <w:p>
      <w:pPr>
        <w:ind w:firstLine="127"/>
        <w:spacing w:after="0" w:line="271" w:lineRule="auto"/>
        <w:rPr>
          <w:sz w:val="20"/>
          <w:szCs w:val="20"/>
          <w:color w:val="auto"/>
        </w:rPr>
      </w:pPr>
      <w:r>
        <w:rPr>
          <w:rFonts w:ascii="Times New Roman" w:cs="Times New Roman" w:eastAsia="Times New Roman" w:hAnsi="Times New Roman"/>
          <w:sz w:val="10"/>
          <w:szCs w:val="10"/>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56" w:lineRule="exact"/>
        <w:rPr>
          <w:sz w:val="20"/>
          <w:szCs w:val="20"/>
          <w:color w:val="auto"/>
        </w:rPr>
      </w:pPr>
    </w:p>
    <w:tbl>
      <w:tblPr>
        <w:tblLayout w:type="fixed"/>
        <w:tblInd w:w="3680" w:type="dxa"/>
        <w:tblCellMar>
          <w:top w:w="0" w:type="dxa"/>
          <w:left w:w="0" w:type="dxa"/>
          <w:bottom w:w="0" w:type="dxa"/>
          <w:right w:w="0" w:type="dxa"/>
        </w:tblCellMar>
      </w:tblPr>
      <w:tr>
        <w:trPr>
          <w:trHeight w:val="13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r>
        <w:trPr>
          <w:trHeight w:val="13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r>
        <w:trPr>
          <w:trHeight w:val="166"/>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bl>
    <w:p>
      <w:pPr>
        <w:spacing w:after="0" w:line="240" w:lineRule="exact"/>
        <w:rPr>
          <w:sz w:val="20"/>
          <w:szCs w:val="20"/>
          <w:color w:val="auto"/>
        </w:rPr>
      </w:pPr>
    </w:p>
    <w:p>
      <w:pPr>
        <w:ind w:firstLine="127"/>
        <w:spacing w:after="0" w:line="293"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0"/>
          <w:szCs w:val="20"/>
          <w:color w:val="auto"/>
        </w:rPr>
      </w:pPr>
    </w:p>
    <w:tbl>
      <w:tblPr>
        <w:tblLayout w:type="fixed"/>
        <w:tblInd w:w="2420" w:type="dxa"/>
        <w:tblCellMar>
          <w:top w:w="0" w:type="dxa"/>
          <w:left w:w="0" w:type="dxa"/>
          <w:bottom w:w="0" w:type="dxa"/>
          <w:right w:w="0" w:type="dxa"/>
        </w:tblCellMar>
      </w:tblPr>
      <w:tr>
        <w:trPr>
          <w:trHeight w:val="115"/>
        </w:trPr>
        <w:tc>
          <w:tcPr>
            <w:tcW w:w="1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Smaller reporting</w:t>
            </w:r>
          </w:p>
        </w:tc>
        <w:tc>
          <w:tcPr>
            <w:tcW w:w="800" w:type="dxa"/>
            <w:vAlign w:val="bottom"/>
          </w:tcPr>
          <w:p>
            <w:pPr>
              <w:jc w:val="center"/>
              <w:ind w:left="11"/>
              <w:spacing w:after="0"/>
              <w:rPr>
                <w:sz w:val="20"/>
                <w:szCs w:val="20"/>
                <w:color w:val="auto"/>
              </w:rPr>
            </w:pPr>
            <w:r>
              <w:rPr>
                <w:rFonts w:ascii="Times New Roman" w:cs="Times New Roman" w:eastAsia="Times New Roman" w:hAnsi="Times New Roman"/>
                <w:sz w:val="10"/>
                <w:szCs w:val="10"/>
                <w:b w:val="1"/>
                <w:bCs w:val="1"/>
                <w:color w:val="auto"/>
                <w:w w:val="98"/>
              </w:rPr>
              <w:t>Emerging growth</w:t>
            </w:r>
          </w:p>
        </w:tc>
      </w:tr>
      <w:tr>
        <w:trPr>
          <w:trHeight w:val="130"/>
        </w:trPr>
        <w:tc>
          <w:tcPr>
            <w:tcW w:w="178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Large accelerated filer</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Accelerated filer</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Non-accelerated filer</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800" w:type="dxa"/>
            <w:vAlign w:val="bottom"/>
          </w:tcPr>
          <w:p>
            <w:pPr>
              <w:jc w:val="center"/>
              <w:ind w:left="11"/>
              <w:spacing w:after="0"/>
              <w:rPr>
                <w:sz w:val="20"/>
                <w:szCs w:val="20"/>
                <w:color w:val="auto"/>
              </w:rPr>
            </w:pPr>
            <w:r>
              <w:rPr>
                <w:rFonts w:ascii="Times New Roman" w:cs="Times New Roman" w:eastAsia="Times New Roman" w:hAnsi="Times New Roman"/>
                <w:sz w:val="10"/>
                <w:szCs w:val="10"/>
                <w:b w:val="1"/>
                <w:bCs w:val="1"/>
                <w:color w:val="auto"/>
                <w:w w:val="97"/>
              </w:rPr>
              <w:t>company</w:t>
            </w:r>
          </w:p>
        </w:tc>
      </w:tr>
      <w:tr>
        <w:trPr>
          <w:trHeight w:val="266"/>
        </w:trPr>
        <w:tc>
          <w:tcPr>
            <w:tcW w:w="178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w:t>
            </w:r>
          </w:p>
        </w:tc>
        <w:tc>
          <w:tcPr>
            <w:tcW w:w="11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tcPr>
          <w:p>
            <w:pPr>
              <w:jc w:val="center"/>
              <w:spacing w:after="0"/>
              <w:rPr>
                <w:sz w:val="20"/>
                <w:szCs w:val="20"/>
                <w:color w:val="auto"/>
              </w:rPr>
            </w:pPr>
            <w:r>
              <w:rPr>
                <w:rFonts w:ascii="Wingdings" w:cs="Wingdings" w:eastAsia="Wingdings" w:hAnsi="Wingdings"/>
                <w:sz w:val="10"/>
                <w:szCs w:val="10"/>
                <w:b w:val="1"/>
                <w:bCs w:val="1"/>
                <w:color w:val="auto"/>
                <w:w w:val="89"/>
              </w:rPr>
              <w:t>o</w:t>
            </w:r>
          </w:p>
        </w:tc>
        <w:tc>
          <w:tcPr>
            <w:tcW w:w="1000" w:type="dxa"/>
            <w:vAlign w:val="bottom"/>
          </w:tcPr>
          <w:p>
            <w:pPr>
              <w:jc w:val="center"/>
              <w:spacing w:after="0"/>
              <w:rPr>
                <w:sz w:val="20"/>
                <w:szCs w:val="20"/>
                <w:color w:val="auto"/>
              </w:rPr>
            </w:pPr>
            <w:r>
              <w:rPr>
                <w:rFonts w:ascii="Wingdings" w:cs="Wingdings" w:eastAsia="Wingdings" w:hAnsi="Wingdings"/>
                <w:sz w:val="10"/>
                <w:szCs w:val="10"/>
                <w:b w:val="1"/>
                <w:bCs w:val="1"/>
                <w:color w:val="auto"/>
              </w:rPr>
              <w:t>o</w:t>
            </w:r>
          </w:p>
        </w:tc>
        <w:tc>
          <w:tcPr>
            <w:tcW w:w="880" w:type="dxa"/>
            <w:vAlign w:val="bottom"/>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00" w:type="dxa"/>
            <w:vAlign w:val="bottom"/>
          </w:tcPr>
          <w:p>
            <w:pPr>
              <w:jc w:val="center"/>
              <w:ind w:left="11"/>
              <w:spacing w:after="0" w:line="101" w:lineRule="exact"/>
              <w:rPr>
                <w:sz w:val="20"/>
                <w:szCs w:val="20"/>
                <w:color w:val="auto"/>
              </w:rPr>
            </w:pPr>
            <w:r>
              <w:rPr>
                <w:rFonts w:ascii="MS PGothic" w:cs="MS PGothic" w:eastAsia="MS PGothic" w:hAnsi="MS PGothic"/>
                <w:sz w:val="10"/>
                <w:szCs w:val="10"/>
                <w:color w:val="auto"/>
                <w:w w:val="99"/>
              </w:rPr>
              <w:t>☐</w:t>
            </w:r>
          </w:p>
        </w:tc>
      </w:tr>
      <w:tr>
        <w:trPr>
          <w:trHeight w:val="244"/>
        </w:trPr>
        <w:tc>
          <w:tcPr>
            <w:tcW w:w="178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1100" w:type="dxa"/>
            <w:vAlign w:val="bottom"/>
          </w:tcPr>
          <w:p>
            <w:pPr>
              <w:jc w:val="center"/>
              <w:spacing w:after="0"/>
              <w:rPr>
                <w:sz w:val="20"/>
                <w:szCs w:val="20"/>
                <w:color w:val="auto"/>
              </w:rPr>
            </w:pPr>
            <w:r>
              <w:rPr>
                <w:rFonts w:ascii="Wingdings" w:cs="Wingdings" w:eastAsia="Wingdings" w:hAnsi="Wingdings"/>
                <w:sz w:val="10"/>
                <w:szCs w:val="10"/>
                <w:b w:val="1"/>
                <w:bCs w:val="1"/>
                <w:color w:val="auto"/>
              </w:rPr>
              <w:t>o</w:t>
            </w:r>
          </w:p>
        </w:tc>
        <w:tc>
          <w:tcPr>
            <w:tcW w:w="840" w:type="dxa"/>
            <w:vAlign w:val="bottom"/>
          </w:tcPr>
          <w:p>
            <w:pPr>
              <w:jc w:val="center"/>
              <w:spacing w:after="0"/>
              <w:rPr>
                <w:sz w:val="20"/>
                <w:szCs w:val="20"/>
                <w:color w:val="auto"/>
              </w:rPr>
            </w:pPr>
            <w:r>
              <w:rPr>
                <w:rFonts w:ascii="Wingdings" w:cs="Wingdings" w:eastAsia="Wingdings" w:hAnsi="Wingdings"/>
                <w:sz w:val="10"/>
                <w:szCs w:val="10"/>
                <w:b w:val="1"/>
                <w:bCs w:val="1"/>
                <w:color w:val="auto"/>
                <w:w w:val="89"/>
              </w:rPr>
              <w:t>o</w:t>
            </w:r>
          </w:p>
        </w:tc>
        <w:tc>
          <w:tcPr>
            <w:tcW w:w="10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80" w:type="dxa"/>
            <w:vAlign w:val="bottom"/>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00" w:type="dxa"/>
            <w:vAlign w:val="bottom"/>
          </w:tcPr>
          <w:p>
            <w:pPr>
              <w:jc w:val="center"/>
              <w:ind w:left="11"/>
              <w:spacing w:after="0" w:line="101" w:lineRule="exact"/>
              <w:rPr>
                <w:sz w:val="20"/>
                <w:szCs w:val="20"/>
                <w:color w:val="auto"/>
              </w:rPr>
            </w:pPr>
            <w:r>
              <w:rPr>
                <w:rFonts w:ascii="MS PGothic" w:cs="MS PGothic" w:eastAsia="MS PGothic" w:hAnsi="MS PGothic"/>
                <w:sz w:val="10"/>
                <w:szCs w:val="10"/>
                <w:color w:val="auto"/>
                <w:w w:val="99"/>
              </w:rPr>
              <w:t>☐</w:t>
            </w:r>
          </w:p>
        </w:tc>
      </w:tr>
      <w:tr>
        <w:trPr>
          <w:trHeight w:val="244"/>
        </w:trPr>
        <w:tc>
          <w:tcPr>
            <w:tcW w:w="178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1100" w:type="dxa"/>
            <w:vAlign w:val="bottom"/>
          </w:tcPr>
          <w:p>
            <w:pPr>
              <w:jc w:val="center"/>
              <w:spacing w:after="0"/>
              <w:rPr>
                <w:sz w:val="20"/>
                <w:szCs w:val="20"/>
                <w:color w:val="auto"/>
              </w:rPr>
            </w:pPr>
            <w:r>
              <w:rPr>
                <w:rFonts w:ascii="Wingdings" w:cs="Wingdings" w:eastAsia="Wingdings" w:hAnsi="Wingdings"/>
                <w:sz w:val="10"/>
                <w:szCs w:val="10"/>
                <w:b w:val="1"/>
                <w:bCs w:val="1"/>
                <w:color w:val="auto"/>
              </w:rPr>
              <w:t>o</w:t>
            </w:r>
          </w:p>
        </w:tc>
        <w:tc>
          <w:tcPr>
            <w:tcW w:w="840" w:type="dxa"/>
            <w:vAlign w:val="bottom"/>
          </w:tcPr>
          <w:p>
            <w:pPr>
              <w:jc w:val="center"/>
              <w:spacing w:after="0"/>
              <w:rPr>
                <w:sz w:val="20"/>
                <w:szCs w:val="20"/>
                <w:color w:val="auto"/>
              </w:rPr>
            </w:pPr>
            <w:r>
              <w:rPr>
                <w:rFonts w:ascii="Wingdings" w:cs="Wingdings" w:eastAsia="Wingdings" w:hAnsi="Wingdings"/>
                <w:sz w:val="10"/>
                <w:szCs w:val="10"/>
                <w:b w:val="1"/>
                <w:bCs w:val="1"/>
                <w:color w:val="auto"/>
                <w:w w:val="89"/>
              </w:rPr>
              <w:t>o</w:t>
            </w:r>
          </w:p>
        </w:tc>
        <w:tc>
          <w:tcPr>
            <w:tcW w:w="10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80" w:type="dxa"/>
            <w:vAlign w:val="bottom"/>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00" w:type="dxa"/>
            <w:vAlign w:val="bottom"/>
          </w:tcPr>
          <w:p>
            <w:pPr>
              <w:jc w:val="center"/>
              <w:ind w:left="11"/>
              <w:spacing w:after="0" w:line="101" w:lineRule="exact"/>
              <w:rPr>
                <w:sz w:val="20"/>
                <w:szCs w:val="20"/>
                <w:color w:val="auto"/>
              </w:rPr>
            </w:pPr>
            <w:r>
              <w:rPr>
                <w:rFonts w:ascii="MS PGothic" w:cs="MS PGothic" w:eastAsia="MS PGothic" w:hAnsi="MS PGothic"/>
                <w:sz w:val="10"/>
                <w:szCs w:val="10"/>
                <w:color w:val="auto"/>
                <w:w w:val="99"/>
              </w:rPr>
              <w:t>☐</w:t>
            </w:r>
          </w:p>
        </w:tc>
      </w:tr>
    </w:tbl>
    <w:p>
      <w:pPr>
        <w:spacing w:after="0" w:line="3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Wingdings" w:cs="Wingdings" w:eastAsia="Wingdings" w:hAnsi="Wingdings"/>
          <w:sz w:val="10"/>
          <w:szCs w:val="10"/>
          <w:b w:val="1"/>
          <w:bCs w:val="1"/>
          <w:color w:val="auto"/>
        </w:rPr>
        <w:t>o</w:t>
      </w:r>
    </w:p>
    <w:p>
      <w:pPr>
        <w:spacing w:after="0" w:line="193" w:lineRule="exact"/>
        <w:rPr>
          <w:sz w:val="20"/>
          <w:szCs w:val="20"/>
          <w:color w:val="auto"/>
        </w:rPr>
      </w:pPr>
    </w:p>
    <w:p>
      <w:pPr>
        <w:ind w:firstLine="127"/>
        <w:spacing w:after="0" w:line="144"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838" w:orient="portrait"/>
          <w:cols w:equalWidth="0" w:num="1">
            <w:col w:w="11280"/>
          </w:cols>
          <w:pgMar w:left="300" w:top="699" w:right="319" w:bottom="1440" w:gutter="0" w:footer="0" w:header="0"/>
        </w:sectPr>
      </w:pPr>
    </w:p>
    <w:p>
      <w:pPr>
        <w:spacing w:after="0" w:line="29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0"/>
          <w:szCs w:val="10"/>
          <w:color w:val="auto"/>
        </w:rPr>
        <w:t>CenterPoint Energy, Inc.</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9"/>
          <w:szCs w:val="9"/>
          <w:color w:val="auto"/>
        </w:rPr>
        <w:t>CenterPoint Energy Houston Electric, LLC</w:t>
      </w:r>
    </w:p>
    <w:p>
      <w:pPr>
        <w:spacing w:after="0" w:line="3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0"/>
          <w:szCs w:val="10"/>
          <w:color w:val="auto"/>
        </w:rPr>
        <w:t>CenterPoint Energy Resources Corp.</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7" w:lineRule="exact"/>
        <w:rPr>
          <w:sz w:val="20"/>
          <w:szCs w:val="20"/>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7" w:lineRule="exact"/>
        <w:rPr>
          <w:sz w:val="20"/>
          <w:szCs w:val="20"/>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0" w:lineRule="exact"/>
        <w:rPr>
          <w:sz w:val="20"/>
          <w:szCs w:val="20"/>
          <w:color w:val="auto"/>
        </w:rPr>
      </w:pPr>
    </w:p>
    <w:p>
      <w:pPr>
        <w:sectPr>
          <w:pgSz w:w="11900" w:h="16838" w:orient="portrait"/>
          <w:cols w:equalWidth="0" w:num="2">
            <w:col w:w="6340" w:space="720"/>
            <w:col w:w="4220"/>
          </w:cols>
          <w:pgMar w:left="300" w:top="699" w:right="319" w:bottom="1440" w:gutter="0" w:footer="0" w:header="0"/>
          <w:type w:val="continuous"/>
        </w:sectPr>
      </w:pP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ectPr>
          <w:pgSz w:w="11900" w:h="16838" w:orient="portrait"/>
          <w:cols w:equalWidth="0" w:num="1">
            <w:col w:w="11280"/>
          </w:cols>
          <w:pgMar w:left="300" w:top="699" w:right="319" w:bottom="1440" w:gutter="0" w:footer="0" w:header="0"/>
          <w:type w:val="continuous"/>
        </w:sectPr>
      </w:pPr>
    </w:p>
    <w:p>
      <w:pPr>
        <w:spacing w:after="0" w:line="31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0"/>
          <w:szCs w:val="10"/>
          <w:color w:val="auto"/>
        </w:rPr>
        <w:t>CenterPoint Energy, Inc.</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9"/>
          <w:szCs w:val="9"/>
          <w:color w:val="auto"/>
        </w:rPr>
        <w:t>CenterPoint Energy Houston Electric, LLC</w:t>
      </w:r>
    </w:p>
    <w:p>
      <w:pPr>
        <w:spacing w:after="0" w:line="3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0"/>
          <w:szCs w:val="10"/>
          <w:color w:val="auto"/>
        </w:rPr>
        <w:t>CenterPoint Energy Resources Corp.</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Wingdings" w:cs="Wingdings" w:eastAsia="Wingdings" w:hAnsi="Wingdings"/>
          <w:sz w:val="7"/>
          <w:szCs w:val="7"/>
          <w:b w:val="1"/>
          <w:bCs w:val="1"/>
          <w:color w:val="auto"/>
        </w:rPr>
        <w:t>o</w:t>
      </w:r>
    </w:p>
    <w:p>
      <w:pPr>
        <w:spacing w:after="0" w:line="60" w:lineRule="exact"/>
        <w:rPr>
          <w:sz w:val="20"/>
          <w:szCs w:val="20"/>
          <w:color w:val="auto"/>
        </w:rPr>
      </w:pPr>
    </w:p>
    <w:p>
      <w:pPr>
        <w:spacing w:after="0"/>
        <w:rPr>
          <w:sz w:val="20"/>
          <w:szCs w:val="20"/>
          <w:color w:val="auto"/>
        </w:rPr>
      </w:pPr>
      <w:r>
        <w:rPr>
          <w:rFonts w:ascii="Wingdings" w:cs="Wingdings" w:eastAsia="Wingdings" w:hAnsi="Wingdings"/>
          <w:sz w:val="7"/>
          <w:szCs w:val="7"/>
          <w:b w:val="1"/>
          <w:bCs w:val="1"/>
          <w:color w:val="auto"/>
        </w:rPr>
        <w:t>o</w:t>
      </w:r>
    </w:p>
    <w:p>
      <w:pPr>
        <w:spacing w:after="0" w:line="60" w:lineRule="exact"/>
        <w:rPr>
          <w:sz w:val="20"/>
          <w:szCs w:val="20"/>
          <w:color w:val="auto"/>
        </w:rPr>
      </w:pPr>
    </w:p>
    <w:p>
      <w:pPr>
        <w:spacing w:after="0"/>
        <w:rPr>
          <w:sz w:val="20"/>
          <w:szCs w:val="20"/>
          <w:color w:val="auto"/>
        </w:rPr>
      </w:pPr>
      <w:r>
        <w:rPr>
          <w:rFonts w:ascii="Wingdings" w:cs="Wingdings" w:eastAsia="Wingdings" w:hAnsi="Wingdings"/>
          <w:sz w:val="7"/>
          <w:szCs w:val="7"/>
          <w:b w:val="1"/>
          <w:bCs w:val="1"/>
          <w:color w:val="auto"/>
        </w:rPr>
        <w:t>o</w:t>
      </w:r>
    </w:p>
    <w:p>
      <w:pPr>
        <w:spacing w:after="0" w:line="228" w:lineRule="exact"/>
        <w:rPr>
          <w:sz w:val="20"/>
          <w:szCs w:val="20"/>
          <w:color w:val="auto"/>
        </w:rPr>
      </w:pPr>
    </w:p>
    <w:p>
      <w:pPr>
        <w:sectPr>
          <w:pgSz w:w="11900" w:h="16838" w:orient="portrait"/>
          <w:cols w:equalWidth="0" w:num="2">
            <w:col w:w="6360" w:space="720"/>
            <w:col w:w="4200"/>
          </w:cols>
          <w:pgMar w:left="300" w:top="699" w:right="319" w:bottom="1440" w:gutter="0" w:footer="0" w:header="0"/>
          <w:type w:val="continuous"/>
        </w:sectPr>
      </w:pPr>
    </w:p>
    <w:p>
      <w:pPr>
        <w:spacing w:after="0" w:line="67" w:lineRule="exact"/>
        <w:rPr>
          <w:sz w:val="20"/>
          <w:szCs w:val="20"/>
          <w:color w:val="auto"/>
        </w:rPr>
      </w:pPr>
    </w:p>
    <w:tbl>
      <w:tblPr>
        <w:tblLayout w:type="fixed"/>
        <w:tblInd w:w="140" w:type="dxa"/>
        <w:tblCellMar>
          <w:top w:w="0" w:type="dxa"/>
          <w:left w:w="0" w:type="dxa"/>
          <w:bottom w:w="0" w:type="dxa"/>
          <w:right w:w="0" w:type="dxa"/>
        </w:tblCellMar>
      </w:tblPr>
      <w:tr>
        <w:trPr>
          <w:trHeight w:val="128"/>
        </w:trPr>
        <w:tc>
          <w:tcPr>
            <w:tcW w:w="5780" w:type="dxa"/>
            <w:vAlign w:val="bottom"/>
          </w:tcPr>
          <w:p>
            <w:pPr>
              <w:spacing w:after="0"/>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Exchange Act).</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09"/>
        </w:trPr>
        <w:tc>
          <w:tcPr>
            <w:tcW w:w="5780" w:type="dxa"/>
            <w:vAlign w:val="bottom"/>
          </w:tcPr>
          <w:p>
            <w:pPr>
              <w:ind w:left="3540"/>
              <w:spacing w:after="0"/>
              <w:rPr>
                <w:sz w:val="20"/>
                <w:szCs w:val="20"/>
                <w:color w:val="auto"/>
              </w:rPr>
            </w:pPr>
            <w:r>
              <w:rPr>
                <w:rFonts w:ascii="Times New Roman" w:cs="Times New Roman" w:eastAsia="Times New Roman" w:hAnsi="Times New Roman"/>
                <w:sz w:val="10"/>
                <w:szCs w:val="10"/>
                <w:color w:val="auto"/>
              </w:rPr>
              <w:t>CenterPoint Energy, Inc.</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400" w:type="dxa"/>
            <w:vAlign w:val="bottom"/>
          </w:tcPr>
          <w:p>
            <w:pPr>
              <w:ind w:left="160"/>
              <w:spacing w:after="0" w:line="115" w:lineRule="exact"/>
              <w:rPr>
                <w:sz w:val="20"/>
                <w:szCs w:val="20"/>
                <w:color w:val="auto"/>
              </w:rPr>
            </w:pPr>
            <w:r>
              <w:rPr>
                <w:rFonts w:ascii="Times New Roman" w:cs="Times New Roman" w:eastAsia="Times New Roman" w:hAnsi="Times New Roman"/>
                <w:sz w:val="10"/>
                <w:szCs w:val="10"/>
                <w:color w:val="auto"/>
                <w:w w:val="88"/>
              </w:rPr>
              <w:t xml:space="preserve">No </w:t>
            </w:r>
            <w:r>
              <w:rPr>
                <w:rFonts w:ascii="MS PGothic" w:cs="MS PGothic" w:eastAsia="MS PGothic" w:hAnsi="MS PGothic"/>
                <w:sz w:val="10"/>
                <w:szCs w:val="10"/>
                <w:color w:val="auto"/>
                <w:w w:val="88"/>
              </w:rPr>
              <w:t>☑</w:t>
            </w:r>
          </w:p>
        </w:tc>
      </w:tr>
      <w:tr>
        <w:trPr>
          <w:trHeight w:val="138"/>
        </w:trPr>
        <w:tc>
          <w:tcPr>
            <w:tcW w:w="5780" w:type="dxa"/>
            <w:vAlign w:val="bottom"/>
          </w:tcPr>
          <w:p>
            <w:pPr>
              <w:ind w:left="3540"/>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400" w:type="dxa"/>
            <w:vAlign w:val="bottom"/>
          </w:tcPr>
          <w:p>
            <w:pPr>
              <w:ind w:left="160"/>
              <w:spacing w:after="0" w:line="115" w:lineRule="exact"/>
              <w:rPr>
                <w:sz w:val="20"/>
                <w:szCs w:val="20"/>
                <w:color w:val="auto"/>
              </w:rPr>
            </w:pPr>
            <w:r>
              <w:rPr>
                <w:rFonts w:ascii="Times New Roman" w:cs="Times New Roman" w:eastAsia="Times New Roman" w:hAnsi="Times New Roman"/>
                <w:sz w:val="10"/>
                <w:szCs w:val="10"/>
                <w:color w:val="auto"/>
                <w:w w:val="88"/>
              </w:rPr>
              <w:t xml:space="preserve">No </w:t>
            </w:r>
            <w:r>
              <w:rPr>
                <w:rFonts w:ascii="MS PGothic" w:cs="MS PGothic" w:eastAsia="MS PGothic" w:hAnsi="MS PGothic"/>
                <w:sz w:val="10"/>
                <w:szCs w:val="10"/>
                <w:color w:val="auto"/>
                <w:w w:val="88"/>
              </w:rPr>
              <w:t>☑</w:t>
            </w:r>
          </w:p>
        </w:tc>
      </w:tr>
      <w:tr>
        <w:trPr>
          <w:trHeight w:val="166"/>
        </w:trPr>
        <w:tc>
          <w:tcPr>
            <w:tcW w:w="5780" w:type="dxa"/>
            <w:vAlign w:val="bottom"/>
          </w:tcPr>
          <w:p>
            <w:pPr>
              <w:ind w:left="3540"/>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400" w:type="dxa"/>
            <w:vAlign w:val="bottom"/>
          </w:tcPr>
          <w:p>
            <w:pPr>
              <w:ind w:left="160"/>
              <w:spacing w:after="0" w:line="115" w:lineRule="exact"/>
              <w:rPr>
                <w:sz w:val="20"/>
                <w:szCs w:val="20"/>
                <w:color w:val="auto"/>
              </w:rPr>
            </w:pPr>
            <w:r>
              <w:rPr>
                <w:rFonts w:ascii="Times New Roman" w:cs="Times New Roman" w:eastAsia="Times New Roman" w:hAnsi="Times New Roman"/>
                <w:sz w:val="10"/>
                <w:szCs w:val="10"/>
                <w:color w:val="auto"/>
                <w:w w:val="88"/>
              </w:rPr>
              <w:t xml:space="preserve">No </w:t>
            </w:r>
            <w:r>
              <w:rPr>
                <w:rFonts w:ascii="MS PGothic" w:cs="MS PGothic" w:eastAsia="MS PGothic" w:hAnsi="MS PGothic"/>
                <w:sz w:val="10"/>
                <w:szCs w:val="10"/>
                <w:color w:val="auto"/>
                <w:w w:val="88"/>
              </w:rPr>
              <w:t>☑</w:t>
            </w:r>
          </w:p>
        </w:tc>
      </w:tr>
    </w:tbl>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91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The aggregate market values of the voting stock held by non-affiliates of the Registrants as of June 30, 2025 are as follows:</w:t>
            </w:r>
          </w:p>
        </w:tc>
        <w:tc>
          <w:tcPr>
            <w:tcW w:w="1240" w:type="dxa"/>
            <w:vAlign w:val="bottom"/>
          </w:tcPr>
          <w:p>
            <w:pPr>
              <w:spacing w:after="0"/>
              <w:rPr>
                <w:sz w:val="11"/>
                <w:szCs w:val="11"/>
                <w:color w:val="auto"/>
              </w:rPr>
            </w:pP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 (using the definition of beneficial ownership contained in Rule 13d-3 promulgated pursuant to Securities Exchange Act of 1934 and excluding shares held by directors and executive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$23,867,105,630</w:t>
            </w:r>
          </w:p>
        </w:tc>
      </w:tr>
      <w:tr>
        <w:trPr>
          <w:trHeight w:val="138"/>
        </w:trPr>
        <w:tc>
          <w:tcPr>
            <w:tcW w:w="912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124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None</w:t>
            </w:r>
          </w:p>
        </w:tc>
      </w:tr>
      <w:tr>
        <w:trPr>
          <w:trHeight w:val="138"/>
        </w:trPr>
        <w:tc>
          <w:tcPr>
            <w:tcW w:w="912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124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None</w:t>
            </w:r>
          </w:p>
        </w:tc>
      </w:tr>
    </w:tbl>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Indicate the number of shares outstanding of each of the issuers’ classes of common stock as of February 13, 2026:</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652,871,584</w:t>
            </w:r>
          </w:p>
        </w:tc>
        <w:tc>
          <w:tcPr>
            <w:tcW w:w="50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shares of common stock outstanding, excluding 166 shares held as treasury stock</w:t>
            </w:r>
          </w:p>
        </w:tc>
      </w:tr>
      <w:tr>
        <w:trPr>
          <w:trHeight w:val="138"/>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50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common shares outstanding, all held by Utility Holding, LLC, a wholly-owned subsidiary of CenterPoint Energy, Inc.</w:t>
            </w:r>
          </w:p>
        </w:tc>
      </w:tr>
      <w:tr>
        <w:trPr>
          <w:trHeight w:val="138"/>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50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8"/>
              </w:rPr>
              <w:t>shares of common stock outstanding, all held by Utility Holding, LLC, a wholly-owned subsidiary of CenterPoint Energy, Inc.</w:t>
            </w:r>
          </w:p>
        </w:tc>
      </w:tr>
    </w:tbl>
    <w:p>
      <w:pPr>
        <w:spacing w:after="0" w:line="264" w:lineRule="exact"/>
        <w:rPr>
          <w:sz w:val="20"/>
          <w:szCs w:val="20"/>
          <w:color w:val="auto"/>
        </w:rPr>
      </w:pPr>
    </w:p>
    <w:p>
      <w:pPr>
        <w:ind w:firstLine="127"/>
        <w:spacing w:after="0" w:line="271" w:lineRule="auto"/>
        <w:rPr>
          <w:sz w:val="20"/>
          <w:szCs w:val="20"/>
          <w:color w:val="auto"/>
        </w:rPr>
      </w:pPr>
      <w:r>
        <w:rPr>
          <w:rFonts w:ascii="Times New Roman" w:cs="Times New Roman" w:eastAsia="Times New Roman" w:hAnsi="Times New Roman"/>
          <w:sz w:val="10"/>
          <w:szCs w:val="10"/>
          <w:color w:val="auto"/>
        </w:rPr>
        <w:t>CenterPoint Energy Houston Electric, LLC and CenterPoint Energy Resources Corp. meet the conditions set forth in general instruction I(1)(a) and (b) of Form 10-K and are therefore filing this Form 10-K with the reduced disclosure format specified in General Instruction I(2) of Form 10-K.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p>
      <w:pPr>
        <w:spacing w:after="0" w:line="205" w:lineRule="exact"/>
        <w:rPr>
          <w:sz w:val="20"/>
          <w:szCs w:val="20"/>
          <w:color w:val="auto"/>
        </w:rPr>
      </w:pPr>
    </w:p>
    <w:p>
      <w:pPr>
        <w:ind w:firstLine="127"/>
        <w:spacing w:after="0" w:line="271" w:lineRule="auto"/>
        <w:rPr>
          <w:sz w:val="20"/>
          <w:szCs w:val="20"/>
          <w:color w:val="auto"/>
        </w:rPr>
      </w:pPr>
      <w:r>
        <w:rPr>
          <w:rFonts w:ascii="Times New Roman" w:cs="Times New Roman" w:eastAsia="Times New Roman" w:hAnsi="Times New Roman"/>
          <w:sz w:val="10"/>
          <w:szCs w:val="10"/>
          <w:color w:val="auto"/>
        </w:rPr>
        <w:t>Portions of the definitive proxy statement relating to the 2026 Annual Meeting of Shareholders of CenterPoint Energy, which will be filed with the Securities and Exchange Commission within 120 days of December 31, 2025, are incorporated by reference in Item 10, Item 11, Item 12, Item 13 and Item 14 of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531495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193675</wp:posOffset>
            </wp:positionV>
            <wp:extent cx="712978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9780" cy="133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173990</wp:posOffset>
            </wp:positionV>
            <wp:extent cx="71297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9780" cy="6985"/>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3060" w:type="dxa"/>
            <w:vAlign w:val="bottom"/>
            <w:tcBorders>
              <w:bottom w:val="single" w:sz="8" w:color="auto"/>
            </w:tcBorders>
          </w:tcPr>
          <w:p>
            <w:pPr>
              <w:spacing w:after="0"/>
              <w:rPr>
                <w:sz w:val="16"/>
                <w:szCs w:val="16"/>
                <w:color w:val="auto"/>
              </w:rPr>
            </w:pPr>
          </w:p>
        </w:tc>
        <w:tc>
          <w:tcPr>
            <w:tcW w:w="822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AFSI</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Adjusted financial statement income</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AFUDC</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Allowance for funds used during construction</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AI</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Artificial intelligence</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ALJ</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Administrative Law Judge</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AMAs</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Asset Management Agreements</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AMS</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Advanced Metering System</w:t>
            </w:r>
          </w:p>
        </w:tc>
      </w:tr>
      <w:tr>
        <w:trPr>
          <w:trHeight w:val="128"/>
        </w:trPr>
        <w:tc>
          <w:tcPr>
            <w:tcW w:w="30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Arevon</w:t>
            </w:r>
          </w:p>
        </w:tc>
        <w:tc>
          <w:tcPr>
            <w:tcW w:w="8220" w:type="dxa"/>
            <w:vAlign w:val="bottom"/>
            <w:shd w:val="clear" w:color="auto" w:fill="CCEEFF"/>
          </w:tcPr>
          <w:p>
            <w:pPr>
              <w:ind w:left="820"/>
              <w:spacing w:after="0" w:line="129" w:lineRule="exact"/>
              <w:rPr>
                <w:sz w:val="20"/>
                <w:szCs w:val="20"/>
                <w:color w:val="auto"/>
              </w:rPr>
            </w:pPr>
            <w:r>
              <w:rPr>
                <w:rFonts w:ascii="Times New Roman" w:cs="Times New Roman" w:eastAsia="Times New Roman" w:hAnsi="Times New Roman"/>
                <w:sz w:val="13"/>
                <w:szCs w:val="13"/>
                <w:color w:val="auto"/>
                <w:w w:val="97"/>
              </w:rPr>
              <w:t>Arevon Energy, Inc., which was formed through the combination of Capital Dynamics, Inc.’s U.S. Clean Energy Infrastructure business unit and</w:t>
            </w:r>
          </w:p>
        </w:tc>
      </w:tr>
      <w:tr>
        <w:trPr>
          <w:trHeight w:val="170"/>
        </w:trPr>
        <w:tc>
          <w:tcPr>
            <w:tcW w:w="3060" w:type="dxa"/>
            <w:vAlign w:val="bottom"/>
            <w:shd w:val="clear" w:color="auto" w:fill="CCEEFF"/>
          </w:tcPr>
          <w:p>
            <w:pPr>
              <w:spacing w:after="0"/>
              <w:rPr>
                <w:sz w:val="14"/>
                <w:szCs w:val="14"/>
                <w:color w:val="auto"/>
              </w:rPr>
            </w:pP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Arevon Asset Management</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ARO</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Asset retirement obligation</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ARP</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Alternative revenue program</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ASC</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Accounting Standards Codification</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ASU</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Accounting Standards Update</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AT&amp;T Common</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AT&amp;T Inc. common stock</w:t>
            </w:r>
          </w:p>
        </w:tc>
      </w:tr>
      <w:tr>
        <w:trPr>
          <w:trHeight w:val="128"/>
        </w:trPr>
        <w:tc>
          <w:tcPr>
            <w:tcW w:w="30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ATM Forward Purchasers</w:t>
            </w:r>
          </w:p>
        </w:tc>
        <w:tc>
          <w:tcPr>
            <w:tcW w:w="8220" w:type="dxa"/>
            <w:vAlign w:val="bottom"/>
            <w:shd w:val="clear" w:color="auto" w:fill="CCEEFF"/>
          </w:tcPr>
          <w:p>
            <w:pPr>
              <w:ind w:left="820"/>
              <w:spacing w:after="0" w:line="129" w:lineRule="exact"/>
              <w:rPr>
                <w:sz w:val="20"/>
                <w:szCs w:val="20"/>
                <w:color w:val="auto"/>
              </w:rPr>
            </w:pPr>
            <w:r>
              <w:rPr>
                <w:rFonts w:ascii="Times New Roman" w:cs="Times New Roman" w:eastAsia="Times New Roman" w:hAnsi="Times New Roman"/>
                <w:sz w:val="13"/>
                <w:szCs w:val="13"/>
                <w:color w:val="auto"/>
                <w:w w:val="97"/>
              </w:rPr>
              <w:t>Bank of America, N.A., Barclays Bank PLC, Citibank, N.A., Goldman Sachs &amp; Co. LLC, JPMorgan Chase Bank, National Association, Mizuho</w:t>
            </w:r>
          </w:p>
        </w:tc>
      </w:tr>
      <w:tr>
        <w:trPr>
          <w:trHeight w:val="170"/>
        </w:trPr>
        <w:tc>
          <w:tcPr>
            <w:tcW w:w="3060" w:type="dxa"/>
            <w:vAlign w:val="bottom"/>
            <w:shd w:val="clear" w:color="auto" w:fill="CCEEFF"/>
          </w:tcPr>
          <w:p>
            <w:pPr>
              <w:spacing w:after="0"/>
              <w:rPr>
                <w:sz w:val="14"/>
                <w:szCs w:val="14"/>
                <w:color w:val="auto"/>
              </w:rPr>
            </w:pP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Markets Americas LLC, MUFG Securities EMEA plc and Royal Bank of Canada</w:t>
            </w: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ATM Forward Sellers</w:t>
            </w:r>
          </w:p>
        </w:tc>
        <w:tc>
          <w:tcPr>
            <w:tcW w:w="822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rPr>
              <w:t>BofA Securities, Inc. Barclays Capital Inc., Citigroup Global Markets Inc., Goldman Sachs &amp; Co. LLC, J.P. Morgan Securities LLC, Mizuho</w:t>
            </w:r>
          </w:p>
        </w:tc>
      </w:tr>
      <w:tr>
        <w:trPr>
          <w:trHeight w:val="168"/>
        </w:trPr>
        <w:tc>
          <w:tcPr>
            <w:tcW w:w="3060" w:type="dxa"/>
            <w:vAlign w:val="bottom"/>
          </w:tcPr>
          <w:p>
            <w:pPr>
              <w:spacing w:after="0"/>
              <w:rPr>
                <w:sz w:val="14"/>
                <w:szCs w:val="14"/>
                <w:color w:val="auto"/>
              </w:rPr>
            </w:pP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Securities USA LLC, MUFG Securities Americas Inc. and RBC Capital Markets, LLC</w:t>
            </w:r>
          </w:p>
        </w:tc>
      </w:tr>
      <w:tr>
        <w:trPr>
          <w:trHeight w:val="129"/>
        </w:trPr>
        <w:tc>
          <w:tcPr>
            <w:tcW w:w="30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ATM Managers</w:t>
            </w:r>
          </w:p>
        </w:tc>
        <w:tc>
          <w:tcPr>
            <w:tcW w:w="8220" w:type="dxa"/>
            <w:vAlign w:val="bottom"/>
            <w:shd w:val="clear" w:color="auto" w:fill="CCEEFF"/>
          </w:tcPr>
          <w:p>
            <w:pPr>
              <w:ind w:left="820"/>
              <w:spacing w:after="0" w:line="129"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 Mizuho</w:t>
            </w:r>
          </w:p>
        </w:tc>
      </w:tr>
      <w:tr>
        <w:trPr>
          <w:trHeight w:val="170"/>
        </w:trPr>
        <w:tc>
          <w:tcPr>
            <w:tcW w:w="3060" w:type="dxa"/>
            <w:vAlign w:val="bottom"/>
            <w:shd w:val="clear" w:color="auto" w:fill="CCEEFF"/>
          </w:tcPr>
          <w:p>
            <w:pPr>
              <w:spacing w:after="0"/>
              <w:rPr>
                <w:sz w:val="14"/>
                <w:szCs w:val="14"/>
                <w:color w:val="auto"/>
              </w:rPr>
            </w:pP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Securities USA LLC, MUFG Securities Americas Inc. and RBC Capital Markets, LLC</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Bcf</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Billion cubic feet</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Board</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CenterPoint Energy’s Board of Directors</w:t>
            </w: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Bond Companies</w:t>
            </w:r>
          </w:p>
        </w:tc>
        <w:tc>
          <w:tcPr>
            <w:tcW w:w="822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rPr>
              <w:t>Transition Bond Company IV, Restoration Bond Company II and Restoration Bond Company III, each a consolidated VIE that is a wholly-</w:t>
            </w:r>
          </w:p>
        </w:tc>
      </w:tr>
      <w:tr>
        <w:trPr>
          <w:trHeight w:val="127"/>
        </w:trPr>
        <w:tc>
          <w:tcPr>
            <w:tcW w:w="3060" w:type="dxa"/>
            <w:vAlign w:val="bottom"/>
          </w:tcPr>
          <w:p>
            <w:pPr>
              <w:spacing w:after="0"/>
              <w:rPr>
                <w:sz w:val="11"/>
                <w:szCs w:val="11"/>
                <w:color w:val="auto"/>
              </w:rPr>
            </w:pPr>
          </w:p>
        </w:tc>
        <w:tc>
          <w:tcPr>
            <w:tcW w:w="822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w w:val="97"/>
              </w:rPr>
              <w:t>owned, bankruptcy-remote, special purpose entity formed solely for the purpose of securitizing transition property or system restoration property</w:t>
            </w:r>
          </w:p>
        </w:tc>
      </w:tr>
      <w:tr>
        <w:trPr>
          <w:trHeight w:val="168"/>
        </w:trPr>
        <w:tc>
          <w:tcPr>
            <w:tcW w:w="3060" w:type="dxa"/>
            <w:vAlign w:val="bottom"/>
          </w:tcPr>
          <w:p>
            <w:pPr>
              <w:spacing w:after="0"/>
              <w:rPr>
                <w:sz w:val="14"/>
                <w:szCs w:val="14"/>
                <w:color w:val="auto"/>
              </w:rPr>
            </w:pP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through the issuance of transition bonds or system restoration bonds</w:t>
            </w: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BTA</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Build Transfer Agreement</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CAMT</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Corporate Alternative Minimum Tax</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CARES Act</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Coronavirus Aid, Relief, and Economic Security Act</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CCN</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Certificate of Convenience and Necessity</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CCR</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Coal Combustion Residuals</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CCR Rule</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Final rule published by the EPA in 2015 to regulate coal ash as non-hazardous material under the RCRA</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CECA</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Clean Energy Cost Adjustment</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CEIP</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CenterPoint Energy Intrastate Pipelines, LLC, a wholly-owned subsidiary of CERC Corp.</w:t>
            </w:r>
          </w:p>
        </w:tc>
      </w:tr>
      <w:tr>
        <w:trPr>
          <w:trHeight w:val="17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CenterPoint Energy</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CenterPoint Energy, Inc., and its subsidiaries</w:t>
            </w: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CenterPoint Energy Credit Agreement</w:t>
            </w:r>
          </w:p>
        </w:tc>
        <w:tc>
          <w:tcPr>
            <w:tcW w:w="822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w w:val="99"/>
              </w:rPr>
              <w:t>Second Amended and Restated Credit Agreement, dated December 6, 2022, by and among CenterPoint Energy, as borrower, JPMorgan Chase</w:t>
            </w:r>
          </w:p>
        </w:tc>
      </w:tr>
      <w:tr>
        <w:trPr>
          <w:trHeight w:val="168"/>
        </w:trPr>
        <w:tc>
          <w:tcPr>
            <w:tcW w:w="3060" w:type="dxa"/>
            <w:vAlign w:val="bottom"/>
          </w:tcPr>
          <w:p>
            <w:pPr>
              <w:spacing w:after="0"/>
              <w:rPr>
                <w:sz w:val="14"/>
                <w:szCs w:val="14"/>
                <w:color w:val="auto"/>
              </w:rPr>
            </w:pP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Bank, N.A., as administrative agent, the financial institutions as bank parties thereto and the other parties thereto.</w:t>
            </w:r>
          </w:p>
        </w:tc>
      </w:tr>
      <w:tr>
        <w:trPr>
          <w:trHeight w:val="129"/>
        </w:trPr>
        <w:tc>
          <w:tcPr>
            <w:tcW w:w="30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CenterPoint Energy Extension Agreement</w:t>
            </w:r>
          </w:p>
        </w:tc>
        <w:tc>
          <w:tcPr>
            <w:tcW w:w="8220" w:type="dxa"/>
            <w:vAlign w:val="bottom"/>
            <w:shd w:val="clear" w:color="auto" w:fill="CCEEFF"/>
          </w:tcPr>
          <w:p>
            <w:pPr>
              <w:ind w:left="820"/>
              <w:spacing w:after="0" w:line="129" w:lineRule="exact"/>
              <w:rPr>
                <w:sz w:val="20"/>
                <w:szCs w:val="20"/>
                <w:color w:val="auto"/>
              </w:rPr>
            </w:pPr>
            <w:r>
              <w:rPr>
                <w:rFonts w:ascii="Times New Roman" w:cs="Times New Roman" w:eastAsia="Times New Roman" w:hAnsi="Times New Roman"/>
                <w:sz w:val="13"/>
                <w:szCs w:val="13"/>
                <w:color w:val="auto"/>
              </w:rPr>
              <w:t>Extension Agreement to the CenterPoint Energy Credit Agreement, dated January 29, 2025, by and among CenterPoint Energy, JPMorgan</w:t>
            </w:r>
          </w:p>
        </w:tc>
      </w:tr>
      <w:tr>
        <w:trPr>
          <w:trHeight w:val="170"/>
        </w:trPr>
        <w:tc>
          <w:tcPr>
            <w:tcW w:w="3060" w:type="dxa"/>
            <w:vAlign w:val="bottom"/>
            <w:shd w:val="clear" w:color="auto" w:fill="CCEEFF"/>
          </w:tcPr>
          <w:p>
            <w:pPr>
              <w:spacing w:after="0"/>
              <w:rPr>
                <w:sz w:val="14"/>
                <w:szCs w:val="14"/>
                <w:color w:val="auto"/>
              </w:rPr>
            </w:pP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Chase Bank, N.A., as administrative agent, and the banks party thereto</w:t>
            </w: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CEOH</w:t>
            </w:r>
          </w:p>
        </w:tc>
        <w:tc>
          <w:tcPr>
            <w:tcW w:w="822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rPr>
              <w:t>Vectren Energy Delivery of Ohio, LLC, doing business as CenterPoint Energy Ohio, which converted its corporate structure from Vectren</w:t>
            </w:r>
          </w:p>
        </w:tc>
      </w:tr>
      <w:tr>
        <w:trPr>
          <w:trHeight w:val="127"/>
        </w:trPr>
        <w:tc>
          <w:tcPr>
            <w:tcW w:w="3060" w:type="dxa"/>
            <w:vAlign w:val="bottom"/>
          </w:tcPr>
          <w:p>
            <w:pPr>
              <w:spacing w:after="0"/>
              <w:rPr>
                <w:sz w:val="11"/>
                <w:szCs w:val="11"/>
                <w:color w:val="auto"/>
              </w:rPr>
            </w:pPr>
          </w:p>
        </w:tc>
        <w:tc>
          <w:tcPr>
            <w:tcW w:w="822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w w:val="98"/>
              </w:rPr>
              <w:t>Energy Delivery of Ohio, Inc. to an Ohio limited liability company on June 13, 2022, formerly a wholly-owned subsidiary of Vectren, acquired</w:t>
            </w:r>
          </w:p>
        </w:tc>
      </w:tr>
      <w:tr>
        <w:trPr>
          <w:trHeight w:val="168"/>
        </w:trPr>
        <w:tc>
          <w:tcPr>
            <w:tcW w:w="3060" w:type="dxa"/>
            <w:vAlign w:val="bottom"/>
          </w:tcPr>
          <w:p>
            <w:pPr>
              <w:spacing w:after="0"/>
              <w:rPr>
                <w:sz w:val="14"/>
                <w:szCs w:val="14"/>
                <w:color w:val="auto"/>
              </w:rPr>
            </w:pP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by CERC on June 30, 2022</w:t>
            </w: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CEP</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Capital Expenditure Program</w:t>
            </w: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CERC</w:t>
            </w: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CERC Corp., together with its subsidiaries</w:t>
            </w:r>
          </w:p>
        </w:tc>
      </w:tr>
      <w:tr>
        <w:trPr>
          <w:trHeight w:val="128"/>
        </w:trPr>
        <w:tc>
          <w:tcPr>
            <w:tcW w:w="30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CERC Credit Agreement</w:t>
            </w:r>
          </w:p>
        </w:tc>
        <w:tc>
          <w:tcPr>
            <w:tcW w:w="8220" w:type="dxa"/>
            <w:vAlign w:val="bottom"/>
            <w:shd w:val="clear" w:color="auto" w:fill="CCEEFF"/>
          </w:tcPr>
          <w:p>
            <w:pPr>
              <w:ind w:left="820"/>
              <w:spacing w:after="0" w:line="129" w:lineRule="exact"/>
              <w:rPr>
                <w:sz w:val="20"/>
                <w:szCs w:val="20"/>
                <w:color w:val="auto"/>
              </w:rPr>
            </w:pPr>
            <w:r>
              <w:rPr>
                <w:rFonts w:ascii="Times New Roman" w:cs="Times New Roman" w:eastAsia="Times New Roman" w:hAnsi="Times New Roman"/>
                <w:sz w:val="13"/>
                <w:szCs w:val="13"/>
                <w:color w:val="auto"/>
              </w:rPr>
              <w:t>Second Amended and Restated Credit Agreement, dated December 6, 2022, by and among CERC, as borrower, Wells Fargo Bank, National</w:t>
            </w:r>
          </w:p>
        </w:tc>
      </w:tr>
      <w:tr>
        <w:trPr>
          <w:trHeight w:val="170"/>
        </w:trPr>
        <w:tc>
          <w:tcPr>
            <w:tcW w:w="3060" w:type="dxa"/>
            <w:vAlign w:val="bottom"/>
            <w:shd w:val="clear" w:color="auto" w:fill="CCEEFF"/>
          </w:tcPr>
          <w:p>
            <w:pPr>
              <w:spacing w:after="0"/>
              <w:rPr>
                <w:sz w:val="14"/>
                <w:szCs w:val="14"/>
                <w:color w:val="auto"/>
              </w:rPr>
            </w:pP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Association, as administrative agent, the financial institutions as bank parties thereto and the other parties thereto</w:t>
            </w: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CERC Extension Agreement</w:t>
            </w:r>
          </w:p>
        </w:tc>
        <w:tc>
          <w:tcPr>
            <w:tcW w:w="822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w w:val="99"/>
              </w:rPr>
              <w:t>Extension Agreement to the CERC Credit Agreement, dated January 29, 2025, by and among CERC, Wells Fargo Bank, National Association,</w:t>
            </w:r>
          </w:p>
        </w:tc>
      </w:tr>
      <w:tr>
        <w:trPr>
          <w:trHeight w:val="168"/>
        </w:trPr>
        <w:tc>
          <w:tcPr>
            <w:tcW w:w="3060" w:type="dxa"/>
            <w:vAlign w:val="bottom"/>
          </w:tcPr>
          <w:p>
            <w:pPr>
              <w:spacing w:after="0"/>
              <w:rPr>
                <w:sz w:val="14"/>
                <w:szCs w:val="14"/>
                <w:color w:val="auto"/>
              </w:rPr>
            </w:pPr>
          </w:p>
        </w:tc>
        <w:tc>
          <w:tcPr>
            <w:tcW w:w="82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as administrative agent, and the banks party thereto</w:t>
            </w: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CERC Corp.</w:t>
            </w:r>
          </w:p>
        </w:tc>
        <w:tc>
          <w:tcPr>
            <w:tcW w:w="8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CenterPoint Energy Resources Corp.</w:t>
            </w:r>
          </w:p>
        </w:tc>
      </w:tr>
      <w:tr>
        <w:trPr>
          <w:trHeight w:val="765"/>
        </w:trPr>
        <w:tc>
          <w:tcPr>
            <w:tcW w:w="306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CERCLA</w:t>
            </w:r>
          </w:p>
        </w:tc>
        <w:tc>
          <w:tcPr>
            <w:tcW w:w="852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c>
          <w:tcPr>
            <w:tcW w:w="0" w:type="dxa"/>
            <w:vAlign w:val="bottom"/>
          </w:tcPr>
          <w:p>
            <w:pPr>
              <w:spacing w:after="0"/>
              <w:rPr>
                <w:sz w:val="1"/>
                <w:szCs w:val="1"/>
                <w:color w:val="auto"/>
              </w:rPr>
            </w:pPr>
          </w:p>
        </w:tc>
      </w:tr>
      <w:tr>
        <w:trPr>
          <w:trHeight w:val="168"/>
        </w:trPr>
        <w:tc>
          <w:tcPr>
            <w:tcW w:w="2760" w:type="dxa"/>
            <w:vAlign w:val="bottom"/>
            <w:vMerge w:val="continue"/>
          </w:tcPr>
          <w:p>
            <w:pPr>
              <w:spacing w:after="0"/>
              <w:rPr>
                <w:sz w:val="14"/>
                <w:szCs w:val="14"/>
                <w:color w:val="auto"/>
              </w:rPr>
            </w:pP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Comprehensive Environmental Response, Compensation and Liability Act of 1980, as amended</w:t>
            </w:r>
          </w:p>
        </w:tc>
        <w:tc>
          <w:tcPr>
            <w:tcW w:w="0" w:type="dxa"/>
            <w:vAlign w:val="bottom"/>
          </w:tcPr>
          <w:p>
            <w:pPr>
              <w:spacing w:after="0"/>
              <w:rPr>
                <w:sz w:val="1"/>
                <w:szCs w:val="1"/>
                <w:color w:val="auto"/>
              </w:rPr>
            </w:pPr>
          </w:p>
        </w:tc>
      </w:tr>
      <w:tr>
        <w:trPr>
          <w:trHeight w:val="17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 in Control Plan</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CenterPoint Energy Change in Control Plan (as amended and restated effective May 1, 2017)</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Charter Common</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Charter Communications, Inc. common stock</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CIP</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Conservation Improvement Program</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Code</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The Internal Revenue Code of 1986, as amended</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CODM</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Chief Operating Decision Maker</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CenterPoint Energy, Inc. common stock, par value $0.01 per share</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Convertible Notes</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CenterPoint Energy’s 4.25% Convertible Senior Notes due 2026</w:t>
            </w:r>
          </w:p>
        </w:tc>
        <w:tc>
          <w:tcPr>
            <w:tcW w:w="0" w:type="dxa"/>
            <w:vAlign w:val="bottom"/>
          </w:tcPr>
          <w:p>
            <w:pPr>
              <w:spacing w:after="0"/>
              <w:rPr>
                <w:sz w:val="1"/>
                <w:szCs w:val="1"/>
                <w:color w:val="auto"/>
              </w:rPr>
            </w:pPr>
          </w:p>
        </w:tc>
      </w:tr>
      <w:tr>
        <w:trPr>
          <w:trHeight w:val="127"/>
        </w:trPr>
        <w:tc>
          <w:tcPr>
            <w:tcW w:w="27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Convertible Notes Indenture</w:t>
            </w:r>
          </w:p>
        </w:tc>
        <w:tc>
          <w:tcPr>
            <w:tcW w:w="8520" w:type="dxa"/>
            <w:vAlign w:val="bottom"/>
          </w:tcPr>
          <w:p>
            <w:pPr>
              <w:ind w:left="1120"/>
              <w:spacing w:after="0" w:line="128" w:lineRule="exact"/>
              <w:rPr>
                <w:sz w:val="20"/>
                <w:szCs w:val="20"/>
                <w:color w:val="auto"/>
              </w:rPr>
            </w:pPr>
            <w:r>
              <w:rPr>
                <w:rFonts w:ascii="Times New Roman" w:cs="Times New Roman" w:eastAsia="Times New Roman" w:hAnsi="Times New Roman"/>
                <w:sz w:val="13"/>
                <w:szCs w:val="13"/>
                <w:color w:val="auto"/>
              </w:rPr>
              <w:t>Indenture dated as of August 4, 2023 by and between CenterPoint Energy and The Bank of New York Mellon Trust Company, National</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Association, as trustee, as supplemented</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COVID-19</w:t>
            </w:r>
          </w:p>
        </w:tc>
        <w:tc>
          <w:tcPr>
            <w:tcW w:w="8520" w:type="dxa"/>
            <w:vAlign w:val="bottom"/>
            <w:shd w:val="clear" w:color="auto" w:fill="CCEEFF"/>
          </w:tcPr>
          <w:p>
            <w:pPr>
              <w:ind w:left="1120"/>
              <w:spacing w:after="0" w:line="129" w:lineRule="exact"/>
              <w:rPr>
                <w:sz w:val="20"/>
                <w:szCs w:val="20"/>
                <w:color w:val="auto"/>
              </w:rPr>
            </w:pPr>
            <w:r>
              <w:rPr>
                <w:rFonts w:ascii="Times New Roman" w:cs="Times New Roman" w:eastAsia="Times New Roman" w:hAnsi="Times New Roman"/>
                <w:sz w:val="13"/>
                <w:szCs w:val="13"/>
                <w:color w:val="auto"/>
                <w:w w:val="99"/>
              </w:rPr>
              <w:t>Novel coronavirus disease 2019, and any mutations or variants thereof, and related global outbreak that was subsequently declared a pandemic</w:t>
            </w: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spacing w:after="0"/>
              <w:rPr>
                <w:sz w:val="14"/>
                <w:szCs w:val="14"/>
                <w:color w:val="auto"/>
              </w:rPr>
            </w:pP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by the World Health Organization</w:t>
            </w: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CPCN</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Certificate of public convenience and necessity</w:t>
            </w: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CPS Energy</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City Public Service Board of San Antonio, Texas</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Credit Agreements</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The CenterPoint Energy Credit Agreement, Houston Electric Credit Agreement, CERC Credit Agreement and SIGECO Credit Agreement</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CSIA</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Compliance and System Improvement Adjustment</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DCRF</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Distribution Cost Recovery Factor</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DOC</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U.S. Department of Commerce</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DOT</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U.S. Department of Transportation</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DRR</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Distribution Replacement Rider</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DSMA</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Demand Side Management Adjustment</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Dth</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Dekatherms</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ECA</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Environmental Cost Adjustment</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EDF Renewables</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EDF Renewables Development, Inc.</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EDIT</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Excess deferred income taxes</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EECR</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Energy Efficiency Cost Recovery</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EECRF</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Energy Efficiency Cost Recovery Factor</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EEFC</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Energy Efficiency Funding Component</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EEFR</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Energy Efficiency Funding Rider</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ELG</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Effluent Limitation Guidelines</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EIA</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U.S. Energy Information Administration</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Energy Systems Group</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Energy Systems Group, LLC, previously a wholly-owned subsidiary of Vectren</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EPA</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Environmental Protection Agency</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EPC</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Engineering, Procurement and Construction</w:t>
            </w:r>
          </w:p>
        </w:tc>
        <w:tc>
          <w:tcPr>
            <w:tcW w:w="0" w:type="dxa"/>
            <w:vAlign w:val="bottom"/>
          </w:tcPr>
          <w:p>
            <w:pPr>
              <w:spacing w:after="0"/>
              <w:rPr>
                <w:sz w:val="1"/>
                <w:szCs w:val="1"/>
                <w:color w:val="auto"/>
              </w:rPr>
            </w:pPr>
          </w:p>
        </w:tc>
      </w:tr>
      <w:tr>
        <w:trPr>
          <w:trHeight w:val="127"/>
        </w:trPr>
        <w:tc>
          <w:tcPr>
            <w:tcW w:w="27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Equity Distribution Agreement</w:t>
            </w:r>
          </w:p>
        </w:tc>
        <w:tc>
          <w:tcPr>
            <w:tcW w:w="8520" w:type="dxa"/>
            <w:vAlign w:val="bottom"/>
          </w:tcPr>
          <w:p>
            <w:pPr>
              <w:ind w:left="1120"/>
              <w:spacing w:after="0" w:line="128" w:lineRule="exact"/>
              <w:rPr>
                <w:sz w:val="20"/>
                <w:szCs w:val="20"/>
                <w:color w:val="auto"/>
              </w:rPr>
            </w:pPr>
            <w:r>
              <w:rPr>
                <w:rFonts w:ascii="Times New Roman" w:cs="Times New Roman" w:eastAsia="Times New Roman" w:hAnsi="Times New Roman"/>
                <w:sz w:val="13"/>
                <w:szCs w:val="13"/>
                <w:color w:val="auto"/>
              </w:rPr>
              <w:t>Equity Distribution Agreement, dated as of January 10, 2024, by and between CenterPoint Energy, the ATM Managers, the ATM Forward</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Purchasers and the ATM Forward Sellers</w:t>
            </w:r>
          </w:p>
        </w:tc>
        <w:tc>
          <w:tcPr>
            <w:tcW w:w="0" w:type="dxa"/>
            <w:vAlign w:val="bottom"/>
          </w:tcPr>
          <w:p>
            <w:pPr>
              <w:spacing w:after="0"/>
              <w:rPr>
                <w:sz w:val="1"/>
                <w:szCs w:val="1"/>
                <w:color w:val="auto"/>
              </w:rPr>
            </w:pPr>
          </w:p>
        </w:tc>
      </w:tr>
      <w:tr>
        <w:trPr>
          <w:trHeight w:val="17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Equity Purchase Agreement</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Equity Purchase Agreement, dated as of May 21, 2023, by and between Vectren Energy Services and ESG Holdings Group</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ERCOT</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Electric Reliability Council of Texas</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ERCOT ISO</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ERCOT Independent System Operator</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ERISA</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Employee Retirement Income Security Act of 1974</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ERO</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Electric Reliability Organization</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ESG Holdings Group</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ESG Holdings Group, LLC a Delaware limited liability company, and an affiliate of Oaktree Capital Management</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Exchange Act</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The Securities Exchange Act of 1934, as amended</w:t>
            </w:r>
          </w:p>
        </w:tc>
        <w:tc>
          <w:tcPr>
            <w:tcW w:w="0" w:type="dxa"/>
            <w:vAlign w:val="bottom"/>
          </w:tcPr>
          <w:p>
            <w:pPr>
              <w:spacing w:after="0"/>
              <w:rPr>
                <w:sz w:val="1"/>
                <w:szCs w:val="1"/>
                <w:color w:val="auto"/>
              </w:rPr>
            </w:pPr>
          </w:p>
        </w:tc>
      </w:tr>
      <w:tr>
        <w:trPr>
          <w:trHeight w:val="127"/>
        </w:trPr>
        <w:tc>
          <w:tcPr>
            <w:tcW w:w="27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Extension Agreements</w:t>
            </w:r>
          </w:p>
        </w:tc>
        <w:tc>
          <w:tcPr>
            <w:tcW w:w="8520" w:type="dxa"/>
            <w:vAlign w:val="bottom"/>
          </w:tcPr>
          <w:p>
            <w:pPr>
              <w:ind w:left="1120"/>
              <w:spacing w:after="0" w:line="128" w:lineRule="exact"/>
              <w:rPr>
                <w:sz w:val="20"/>
                <w:szCs w:val="20"/>
                <w:color w:val="auto"/>
              </w:rPr>
            </w:pPr>
            <w:r>
              <w:rPr>
                <w:rFonts w:ascii="Times New Roman" w:cs="Times New Roman" w:eastAsia="Times New Roman" w:hAnsi="Times New Roman"/>
                <w:sz w:val="13"/>
                <w:szCs w:val="13"/>
                <w:color w:val="auto"/>
              </w:rPr>
              <w:t>The CenterPoint Energy Extension Agreement, Houston Electric Extension Agreement, CERC Extension Agreement and SIGECO Extension</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Agreement</w:t>
            </w:r>
          </w:p>
        </w:tc>
        <w:tc>
          <w:tcPr>
            <w:tcW w:w="0" w:type="dxa"/>
            <w:vAlign w:val="bottom"/>
          </w:tcPr>
          <w:p>
            <w:pPr>
              <w:spacing w:after="0"/>
              <w:rPr>
                <w:sz w:val="1"/>
                <w:szCs w:val="1"/>
                <w:color w:val="auto"/>
              </w:rPr>
            </w:pPr>
          </w:p>
        </w:tc>
      </w:tr>
      <w:tr>
        <w:trPr>
          <w:trHeight w:val="17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FAC</w:t>
            </w:r>
          </w:p>
        </w:tc>
        <w:tc>
          <w:tcPr>
            <w:tcW w:w="85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Fuel Adjustment Clause</w:t>
            </w:r>
          </w:p>
        </w:tc>
        <w:tc>
          <w:tcPr>
            <w:tcW w:w="0" w:type="dxa"/>
            <w:vAlign w:val="bottom"/>
          </w:tcPr>
          <w:p>
            <w:pPr>
              <w:spacing w:after="0"/>
              <w:rPr>
                <w:sz w:val="1"/>
                <w:szCs w:val="1"/>
                <w:color w:val="auto"/>
              </w:rPr>
            </w:pPr>
          </w:p>
        </w:tc>
      </w:tr>
      <w:tr>
        <w:trPr>
          <w:trHeight w:val="167"/>
        </w:trPr>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FASB</w:t>
            </w:r>
          </w:p>
        </w:tc>
        <w:tc>
          <w:tcPr>
            <w:tcW w:w="852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Financial Accounting Standards Board</w:t>
            </w:r>
          </w:p>
        </w:tc>
        <w:tc>
          <w:tcPr>
            <w:tcW w:w="0" w:type="dxa"/>
            <w:vAlign w:val="bottom"/>
          </w:tcPr>
          <w:p>
            <w:pPr>
              <w:spacing w:after="0"/>
              <w:rPr>
                <w:sz w:val="1"/>
                <w:szCs w:val="1"/>
                <w:color w:val="auto"/>
              </w:rPr>
            </w:pPr>
          </w:p>
        </w:tc>
      </w:tr>
      <w:tr>
        <w:trPr>
          <w:trHeight w:val="767"/>
        </w:trPr>
        <w:tc>
          <w:tcPr>
            <w:tcW w:w="276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812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r>
      <w:tr>
        <w:trPr>
          <w:trHeight w:val="128"/>
        </w:trPr>
        <w:tc>
          <w:tcPr>
            <w:tcW w:w="31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February 2021 Winter Storm Event</w:t>
            </w:r>
          </w:p>
        </w:tc>
        <w:tc>
          <w:tcPr>
            <w:tcW w:w="8120" w:type="dxa"/>
            <w:vAlign w:val="bottom"/>
            <w:shd w:val="clear" w:color="auto" w:fill="CCEEFF"/>
          </w:tcPr>
          <w:p>
            <w:pPr>
              <w:ind w:left="720"/>
              <w:spacing w:after="0" w:line="128" w:lineRule="exact"/>
              <w:rPr>
                <w:sz w:val="20"/>
                <w:szCs w:val="20"/>
                <w:color w:val="auto"/>
              </w:rPr>
            </w:pPr>
            <w:r>
              <w:rPr>
                <w:rFonts w:ascii="Times New Roman" w:cs="Times New Roman" w:eastAsia="Times New Roman" w:hAnsi="Times New Roman"/>
                <w:sz w:val="13"/>
                <w:szCs w:val="13"/>
                <w:color w:val="auto"/>
              </w:rPr>
              <w:t>The extreme and unprecedented winter weather event in February 2021 (also known as Winter Storm Uri) resulting in electricity generation</w:t>
            </w:r>
          </w:p>
        </w:tc>
      </w:tr>
      <w:tr>
        <w:trPr>
          <w:trHeight w:val="127"/>
        </w:trPr>
        <w:tc>
          <w:tcPr>
            <w:tcW w:w="3160" w:type="dxa"/>
            <w:vAlign w:val="bottom"/>
            <w:shd w:val="clear" w:color="auto" w:fill="CCEEFF"/>
          </w:tcPr>
          <w:p>
            <w:pPr>
              <w:spacing w:after="0"/>
              <w:rPr>
                <w:sz w:val="11"/>
                <w:szCs w:val="11"/>
                <w:color w:val="auto"/>
              </w:rPr>
            </w:pPr>
          </w:p>
        </w:tc>
        <w:tc>
          <w:tcPr>
            <w:tcW w:w="8120" w:type="dxa"/>
            <w:vAlign w:val="bottom"/>
            <w:shd w:val="clear" w:color="auto" w:fill="CCEEFF"/>
          </w:tcPr>
          <w:p>
            <w:pPr>
              <w:ind w:left="720"/>
              <w:spacing w:after="0" w:line="128" w:lineRule="exact"/>
              <w:rPr>
                <w:sz w:val="20"/>
                <w:szCs w:val="20"/>
                <w:color w:val="auto"/>
              </w:rPr>
            </w:pPr>
            <w:r>
              <w:rPr>
                <w:rFonts w:ascii="Times New Roman" w:cs="Times New Roman" w:eastAsia="Times New Roman" w:hAnsi="Times New Roman"/>
                <w:sz w:val="13"/>
                <w:szCs w:val="13"/>
                <w:color w:val="auto"/>
              </w:rPr>
              <w:t>supply shortages, including in Texas, and natural gas supply shortages and increased wholesale prices of natural gas in the United States,</w:t>
            </w:r>
          </w:p>
        </w:tc>
      </w:tr>
      <w:tr>
        <w:trPr>
          <w:trHeight w:val="170"/>
        </w:trPr>
        <w:tc>
          <w:tcPr>
            <w:tcW w:w="3160" w:type="dxa"/>
            <w:vAlign w:val="bottom"/>
            <w:shd w:val="clear" w:color="auto" w:fill="CCEEFF"/>
          </w:tcPr>
          <w:p>
            <w:pPr>
              <w:spacing w:after="0"/>
              <w:rPr>
                <w:sz w:val="14"/>
                <w:szCs w:val="14"/>
                <w:color w:val="auto"/>
              </w:rPr>
            </w:pP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primarily due to prolonged freezing temperatures.</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FERC</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Federal Energy Regulatory Commission</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Fitch</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Fitch Ratings, Inc.</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Form 10-K</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Annual Report on Form 10-K</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FPA</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Federal Power Act</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GAAP</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Generally Accepted Accounting Principles</w:t>
            </w: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General Mortgage</w:t>
            </w:r>
          </w:p>
        </w:tc>
        <w:tc>
          <w:tcPr>
            <w:tcW w:w="8120" w:type="dxa"/>
            <w:vAlign w:val="bottom"/>
            <w:shd w:val="clear" w:color="auto" w:fill="CCEEFF"/>
          </w:tcPr>
          <w:p>
            <w:pPr>
              <w:ind w:left="720"/>
              <w:spacing w:after="0" w:line="129" w:lineRule="exact"/>
              <w:rPr>
                <w:sz w:val="20"/>
                <w:szCs w:val="20"/>
                <w:color w:val="auto"/>
              </w:rPr>
            </w:pPr>
            <w:r>
              <w:rPr>
                <w:rFonts w:ascii="Times New Roman" w:cs="Times New Roman" w:eastAsia="Times New Roman" w:hAnsi="Times New Roman"/>
                <w:sz w:val="13"/>
                <w:szCs w:val="13"/>
                <w:color w:val="auto"/>
                <w:w w:val="99"/>
              </w:rPr>
              <w:t>General Mortgage Indenture, dated as of October 10, 2002, between CenterPoint Energy Houston Electric, LLC and JPMorgan Chase Bank, as</w:t>
            </w:r>
          </w:p>
        </w:tc>
      </w:tr>
      <w:tr>
        <w:trPr>
          <w:trHeight w:val="170"/>
        </w:trPr>
        <w:tc>
          <w:tcPr>
            <w:tcW w:w="3160" w:type="dxa"/>
            <w:vAlign w:val="bottom"/>
            <w:shd w:val="clear" w:color="auto" w:fill="CCEEFF"/>
          </w:tcPr>
          <w:p>
            <w:pPr>
              <w:spacing w:after="0"/>
              <w:rPr>
                <w:sz w:val="14"/>
                <w:szCs w:val="14"/>
                <w:color w:val="auto"/>
              </w:rPr>
            </w:pP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Trustee, as supplemented from time to time</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GHG</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Greenhouse gases</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GRIP</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Gas Reliability Infrastructure Program</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GWh</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Gigawatt-hours</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HLPSA</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Hazardous Liquid Pipeline Safety Act of 1979</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Houston Electric</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CenterPoint Energy Houston Electric, LLC and its subsidiaries</w:t>
            </w: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Houston Electric Credit Agreement</w:t>
            </w:r>
          </w:p>
        </w:tc>
        <w:tc>
          <w:tcPr>
            <w:tcW w:w="8120" w:type="dxa"/>
            <w:vAlign w:val="bottom"/>
            <w:shd w:val="clear" w:color="auto" w:fill="CCEEFF"/>
          </w:tcPr>
          <w:p>
            <w:pPr>
              <w:ind w:left="720"/>
              <w:spacing w:after="0" w:line="129" w:lineRule="exact"/>
              <w:rPr>
                <w:sz w:val="20"/>
                <w:szCs w:val="20"/>
                <w:color w:val="auto"/>
              </w:rPr>
            </w:pPr>
            <w:r>
              <w:rPr>
                <w:rFonts w:ascii="Times New Roman" w:cs="Times New Roman" w:eastAsia="Times New Roman" w:hAnsi="Times New Roman"/>
                <w:sz w:val="13"/>
                <w:szCs w:val="13"/>
                <w:color w:val="auto"/>
                <w:w w:val="97"/>
              </w:rPr>
              <w:t>Second Amended and Restated Credit Agreement, dated December 6, 2022, by and among Houston Electric, as borrower, Mizuho Bank, Ltd., as</w:t>
            </w:r>
          </w:p>
        </w:tc>
      </w:tr>
      <w:tr>
        <w:trPr>
          <w:trHeight w:val="170"/>
        </w:trPr>
        <w:tc>
          <w:tcPr>
            <w:tcW w:w="3160" w:type="dxa"/>
            <w:vAlign w:val="bottom"/>
            <w:shd w:val="clear" w:color="auto" w:fill="CCEEFF"/>
          </w:tcPr>
          <w:p>
            <w:pPr>
              <w:spacing w:after="0"/>
              <w:rPr>
                <w:sz w:val="14"/>
                <w:szCs w:val="14"/>
                <w:color w:val="auto"/>
              </w:rPr>
            </w:pP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administrative agent, the financial institutions as bank parties thereto and the other parties thereto</w:t>
            </w:r>
          </w:p>
        </w:tc>
      </w:tr>
      <w:tr>
        <w:trPr>
          <w:trHeight w:val="127"/>
        </w:trPr>
        <w:tc>
          <w:tcPr>
            <w:tcW w:w="31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Houston Electric Extension Agreement</w:t>
            </w:r>
          </w:p>
        </w:tc>
        <w:tc>
          <w:tcPr>
            <w:tcW w:w="8120" w:type="dxa"/>
            <w:vAlign w:val="bottom"/>
          </w:tcPr>
          <w:p>
            <w:pPr>
              <w:ind w:left="720"/>
              <w:spacing w:after="0" w:line="128" w:lineRule="exact"/>
              <w:rPr>
                <w:sz w:val="20"/>
                <w:szCs w:val="20"/>
                <w:color w:val="auto"/>
              </w:rPr>
            </w:pPr>
            <w:r>
              <w:rPr>
                <w:rFonts w:ascii="Times New Roman" w:cs="Times New Roman" w:eastAsia="Times New Roman" w:hAnsi="Times New Roman"/>
                <w:sz w:val="13"/>
                <w:szCs w:val="13"/>
                <w:color w:val="auto"/>
                <w:w w:val="97"/>
              </w:rPr>
              <w:t>Extension Agreement to the Houston Electric Credit Agreement, dated January 29, 2025, by and among Houston Electric, Mizuho Bank, Ltd., as</w:t>
            </w:r>
          </w:p>
        </w:tc>
      </w:tr>
      <w:tr>
        <w:trPr>
          <w:trHeight w:val="168"/>
        </w:trPr>
        <w:tc>
          <w:tcPr>
            <w:tcW w:w="3160" w:type="dxa"/>
            <w:vAlign w:val="bottom"/>
          </w:tcPr>
          <w:p>
            <w:pPr>
              <w:spacing w:after="0"/>
              <w:rPr>
                <w:sz w:val="14"/>
                <w:szCs w:val="14"/>
                <w:color w:val="auto"/>
              </w:rPr>
            </w:pP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administrative agent, and the banks party thereto</w:t>
            </w:r>
          </w:p>
        </w:tc>
      </w:tr>
      <w:tr>
        <w:trPr>
          <w:trHeight w:val="17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Human Capital and Compensation Committee</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Human Capital and Compensation Committee of the Board</w:t>
            </w:r>
          </w:p>
        </w:tc>
      </w:tr>
      <w:tr>
        <w:trPr>
          <w:trHeight w:val="127"/>
        </w:trPr>
        <w:tc>
          <w:tcPr>
            <w:tcW w:w="31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Hurricane Beryl</w:t>
            </w:r>
          </w:p>
        </w:tc>
        <w:tc>
          <w:tcPr>
            <w:tcW w:w="8120" w:type="dxa"/>
            <w:vAlign w:val="bottom"/>
          </w:tcPr>
          <w:p>
            <w:pPr>
              <w:ind w:left="720"/>
              <w:spacing w:after="0" w:line="128" w:lineRule="exact"/>
              <w:rPr>
                <w:sz w:val="20"/>
                <w:szCs w:val="20"/>
                <w:color w:val="auto"/>
              </w:rPr>
            </w:pPr>
            <w:r>
              <w:rPr>
                <w:rFonts w:ascii="Times New Roman" w:cs="Times New Roman" w:eastAsia="Times New Roman" w:hAnsi="Times New Roman"/>
                <w:sz w:val="13"/>
                <w:szCs w:val="13"/>
                <w:color w:val="auto"/>
              </w:rPr>
              <w:t>The powerful and destructive storm that made landfall in Texas on July 8, 2024 and caused widespread damage to Houston Electric’s electric</w:t>
            </w:r>
          </w:p>
        </w:tc>
      </w:tr>
      <w:tr>
        <w:trPr>
          <w:trHeight w:val="168"/>
        </w:trPr>
        <w:tc>
          <w:tcPr>
            <w:tcW w:w="3160" w:type="dxa"/>
            <w:vAlign w:val="bottom"/>
          </w:tcPr>
          <w:p>
            <w:pPr>
              <w:spacing w:after="0"/>
              <w:rPr>
                <w:sz w:val="14"/>
                <w:szCs w:val="14"/>
                <w:color w:val="auto"/>
              </w:rPr>
            </w:pP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delivery system</w:t>
            </w:r>
          </w:p>
        </w:tc>
      </w:tr>
      <w:tr>
        <w:trPr>
          <w:trHeight w:val="17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HVAC</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Heating, ventilation and air conditioning</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IAS</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International Accounting Standards</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IBEW</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International Brotherhood of Electrical Workers</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ICPA</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Inter-Company Power Agreement</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IDEM</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Indiana Department of Environmental Management</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IG</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Intelligent Grid</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Electric</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Operations of SIGECO’s electric transmission and distribution services, and includes its power generating and wholesale power operations</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Gas</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Indiana Gas Company, Inc., a wholly-owned subsidiary of CERC Corp.</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North</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Gas operations of Indiana Gas</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South</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Gas operations of SIGECO</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Utilities</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Indiana Electric, Indiana North and Indiana South, collectively</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IRA</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Inflation Reduction Act of 2022</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IRP</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Integrated Resource Plan</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IRS</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Internal Revenue Service</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IURC</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Indiana Utility Regulatory Commission</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Notes</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Junior Subordinated Series A Notes, Junior Subordinated Series B Notes and Junior Subordinated Series C Notes</w:t>
            </w:r>
          </w:p>
        </w:tc>
      </w:tr>
      <w:tr>
        <w:trPr>
          <w:trHeight w:val="128"/>
        </w:trPr>
        <w:tc>
          <w:tcPr>
            <w:tcW w:w="3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Junior Subordinated Notes Indenture</w:t>
            </w:r>
          </w:p>
        </w:tc>
        <w:tc>
          <w:tcPr>
            <w:tcW w:w="8120" w:type="dxa"/>
            <w:vAlign w:val="bottom"/>
            <w:shd w:val="clear" w:color="auto" w:fill="CCEEFF"/>
          </w:tcPr>
          <w:p>
            <w:pPr>
              <w:ind w:left="720"/>
              <w:spacing w:after="0" w:line="129" w:lineRule="exact"/>
              <w:rPr>
                <w:sz w:val="20"/>
                <w:szCs w:val="20"/>
                <w:color w:val="auto"/>
              </w:rPr>
            </w:pPr>
            <w:r>
              <w:rPr>
                <w:rFonts w:ascii="Times New Roman" w:cs="Times New Roman" w:eastAsia="Times New Roman" w:hAnsi="Times New Roman"/>
                <w:sz w:val="13"/>
                <w:szCs w:val="13"/>
                <w:color w:val="auto"/>
                <w:w w:val="99"/>
              </w:rPr>
              <w:t>Junior Subordinated Indenture, dated as of August 14, 2024, between CenterPoint Energy and The Bank of New York Mellon Trust Company,</w:t>
            </w:r>
          </w:p>
        </w:tc>
      </w:tr>
      <w:tr>
        <w:trPr>
          <w:trHeight w:val="170"/>
        </w:trPr>
        <w:tc>
          <w:tcPr>
            <w:tcW w:w="3160" w:type="dxa"/>
            <w:vAlign w:val="bottom"/>
            <w:shd w:val="clear" w:color="auto" w:fill="CCEEFF"/>
          </w:tcPr>
          <w:p>
            <w:pPr>
              <w:spacing w:after="0"/>
              <w:rPr>
                <w:sz w:val="14"/>
                <w:szCs w:val="14"/>
                <w:color w:val="auto"/>
              </w:rPr>
            </w:pP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National Association, as trustee, as supplemented</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A Notes</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7.000% Fixed-to-Fixed Reset Rate Junior Subordinated Notes, Series A, due 2055</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B Notes</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6.850% Fixed-to-Fixed Reset Rate Junior Subordinated Notes, Series B, due 2055</w:t>
            </w: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C Notes</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6.700% Fixed-to-Fixed Reset Rate Junior Subordinated Notes, Series C, due 2055</w:t>
            </w:r>
          </w:p>
        </w:tc>
      </w:tr>
      <w:tr>
        <w:trPr>
          <w:trHeight w:val="171"/>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kV</w:t>
            </w:r>
          </w:p>
        </w:tc>
        <w:tc>
          <w:tcPr>
            <w:tcW w:w="8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Kilovolt</w:t>
            </w:r>
          </w:p>
        </w:tc>
      </w:tr>
      <w:tr>
        <w:trPr>
          <w:trHeight w:val="167"/>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LAMS Asset Purchase Agreement</w:t>
            </w:r>
          </w:p>
        </w:tc>
        <w:tc>
          <w:tcPr>
            <w:tcW w:w="812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Asset Purchase Agreement, dated as of February 19, 2024, by and among CERC Corp. and the LAMS Buyers</w:t>
            </w:r>
          </w:p>
        </w:tc>
      </w:tr>
      <w:tr>
        <w:trPr>
          <w:trHeight w:val="767"/>
        </w:trPr>
        <w:tc>
          <w:tcPr>
            <w:tcW w:w="316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836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r>
      <w:tr>
        <w:trPr>
          <w:trHeight w:val="128"/>
        </w:trPr>
        <w:tc>
          <w:tcPr>
            <w:tcW w:w="29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LAMS Buyers</w:t>
            </w:r>
          </w:p>
        </w:tc>
        <w:tc>
          <w:tcPr>
            <w:tcW w:w="8360" w:type="dxa"/>
            <w:vAlign w:val="bottom"/>
            <w:shd w:val="clear" w:color="auto" w:fill="CCEEFF"/>
          </w:tcPr>
          <w:p>
            <w:pPr>
              <w:ind w:left="960"/>
              <w:spacing w:after="0" w:line="128" w:lineRule="exact"/>
              <w:rPr>
                <w:sz w:val="20"/>
                <w:szCs w:val="20"/>
                <w:color w:val="auto"/>
              </w:rPr>
            </w:pPr>
            <w:r>
              <w:rPr>
                <w:rFonts w:ascii="Times New Roman" w:cs="Times New Roman" w:eastAsia="Times New Roman" w:hAnsi="Times New Roman"/>
                <w:sz w:val="13"/>
                <w:szCs w:val="13"/>
                <w:color w:val="auto"/>
              </w:rPr>
              <w:t>Delta North Louisiana Gas Company, LLC, a Delaware limited liability company, Delta South Louisiana Gas Company, LLC, a Delaware</w:t>
            </w:r>
          </w:p>
        </w:tc>
      </w:tr>
      <w:tr>
        <w:trPr>
          <w:trHeight w:val="127"/>
        </w:trPr>
        <w:tc>
          <w:tcPr>
            <w:tcW w:w="2920" w:type="dxa"/>
            <w:vAlign w:val="bottom"/>
            <w:shd w:val="clear" w:color="auto" w:fill="CCEEFF"/>
          </w:tcPr>
          <w:p>
            <w:pPr>
              <w:spacing w:after="0"/>
              <w:rPr>
                <w:sz w:val="11"/>
                <w:szCs w:val="11"/>
                <w:color w:val="auto"/>
              </w:rPr>
            </w:pPr>
          </w:p>
        </w:tc>
        <w:tc>
          <w:tcPr>
            <w:tcW w:w="8360" w:type="dxa"/>
            <w:vAlign w:val="bottom"/>
            <w:shd w:val="clear" w:color="auto" w:fill="CCEEFF"/>
          </w:tcPr>
          <w:p>
            <w:pPr>
              <w:ind w:left="960"/>
              <w:spacing w:after="0" w:line="128" w:lineRule="exact"/>
              <w:rPr>
                <w:sz w:val="20"/>
                <w:szCs w:val="20"/>
                <w:color w:val="auto"/>
              </w:rPr>
            </w:pPr>
            <w:r>
              <w:rPr>
                <w:rFonts w:ascii="Times New Roman" w:cs="Times New Roman" w:eastAsia="Times New Roman" w:hAnsi="Times New Roman"/>
                <w:sz w:val="13"/>
                <w:szCs w:val="13"/>
                <w:color w:val="auto"/>
              </w:rPr>
              <w:t>limited liability company, Delta Mississippi Gas Company, LLC, a Delaware limited liability company, and Delta Energy Resources, LLC, a</w:t>
            </w:r>
          </w:p>
        </w:tc>
      </w:tr>
      <w:tr>
        <w:trPr>
          <w:trHeight w:val="170"/>
        </w:trPr>
        <w:tc>
          <w:tcPr>
            <w:tcW w:w="2920" w:type="dxa"/>
            <w:vAlign w:val="bottom"/>
            <w:shd w:val="clear" w:color="auto" w:fill="CCEEFF"/>
          </w:tcPr>
          <w:p>
            <w:pPr>
              <w:spacing w:after="0"/>
              <w:rPr>
                <w:sz w:val="14"/>
                <w:szCs w:val="14"/>
                <w:color w:val="auto"/>
              </w:rPr>
            </w:pP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Delaware limited liability company</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LDC</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Local Distribution Company</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LNG</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Liquefied natural gas</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Load Shed</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Curtailing the amount of electricity a TDU can transmit and distribute to its customers</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LTIPs</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Long-term incentive plans</w:t>
            </w:r>
          </w:p>
        </w:tc>
      </w:tr>
      <w:tr>
        <w:trPr>
          <w:trHeight w:val="127"/>
        </w:trPr>
        <w:tc>
          <w:tcPr>
            <w:tcW w:w="29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M&amp;DOT</w:t>
            </w:r>
          </w:p>
        </w:tc>
        <w:tc>
          <w:tcPr>
            <w:tcW w:w="8360" w:type="dxa"/>
            <w:vAlign w:val="bottom"/>
          </w:tcPr>
          <w:p>
            <w:pPr>
              <w:ind w:left="960"/>
              <w:spacing w:after="0" w:line="128" w:lineRule="exact"/>
              <w:rPr>
                <w:sz w:val="20"/>
                <w:szCs w:val="20"/>
                <w:color w:val="auto"/>
              </w:rPr>
            </w:pPr>
            <w:r>
              <w:rPr>
                <w:rFonts w:ascii="Times New Roman" w:cs="Times New Roman" w:eastAsia="Times New Roman" w:hAnsi="Times New Roman"/>
                <w:sz w:val="13"/>
                <w:szCs w:val="13"/>
                <w:color w:val="auto"/>
              </w:rPr>
              <w:t>Mortgage and Deed of Trust, dated November 1, 1944, between Houston Lighting and Power Company and Chase Bank of Texas, National</w:t>
            </w:r>
          </w:p>
        </w:tc>
      </w:tr>
      <w:tr>
        <w:trPr>
          <w:trHeight w:val="168"/>
        </w:trPr>
        <w:tc>
          <w:tcPr>
            <w:tcW w:w="2920" w:type="dxa"/>
            <w:vAlign w:val="bottom"/>
          </w:tcPr>
          <w:p>
            <w:pPr>
              <w:spacing w:after="0"/>
              <w:rPr>
                <w:sz w:val="14"/>
                <w:szCs w:val="14"/>
                <w:color w:val="auto"/>
              </w:rPr>
            </w:pP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Association (formerly, South Texas Commercial National Bank of Houston), as Trustee, as amended and supplemented</w:t>
            </w:r>
          </w:p>
        </w:tc>
      </w:tr>
      <w:tr>
        <w:trPr>
          <w:trHeight w:val="129"/>
        </w:trPr>
        <w:tc>
          <w:tcPr>
            <w:tcW w:w="29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May 2024 Storm Events</w:t>
            </w:r>
          </w:p>
        </w:tc>
        <w:tc>
          <w:tcPr>
            <w:tcW w:w="8360" w:type="dxa"/>
            <w:vAlign w:val="bottom"/>
            <w:shd w:val="clear" w:color="auto" w:fill="CCEEFF"/>
          </w:tcPr>
          <w:p>
            <w:pPr>
              <w:ind w:left="960"/>
              <w:spacing w:after="0" w:line="129" w:lineRule="exact"/>
              <w:rPr>
                <w:sz w:val="20"/>
                <w:szCs w:val="20"/>
                <w:color w:val="auto"/>
              </w:rPr>
            </w:pPr>
            <w:r>
              <w:rPr>
                <w:rFonts w:ascii="Times New Roman" w:cs="Times New Roman" w:eastAsia="Times New Roman" w:hAnsi="Times New Roman"/>
                <w:sz w:val="13"/>
                <w:szCs w:val="13"/>
                <w:color w:val="auto"/>
              </w:rPr>
              <w:t>The sudden and destructive severe weather events in May 2024 that included hurricane-like winds and tornadoes and resulted in widespread</w:t>
            </w:r>
          </w:p>
        </w:tc>
      </w:tr>
      <w:tr>
        <w:trPr>
          <w:trHeight w:val="170"/>
        </w:trPr>
        <w:tc>
          <w:tcPr>
            <w:tcW w:w="2920" w:type="dxa"/>
            <w:vAlign w:val="bottom"/>
            <w:shd w:val="clear" w:color="auto" w:fill="CCEEFF"/>
          </w:tcPr>
          <w:p>
            <w:pPr>
              <w:spacing w:after="0"/>
              <w:rPr>
                <w:sz w:val="14"/>
                <w:szCs w:val="14"/>
                <w:color w:val="auto"/>
              </w:rPr>
            </w:pP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damage to Houston Electric’s electric delivery system</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MCRA</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MISO Cost and Revenue Adjustment</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MDL</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Multi-district litigation</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MGP</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Manufactured gas plant</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MISO</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Midcontinent Independent System Operator</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MMBtu</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One million British thermal units</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MMcf</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Million cubic feet</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Moody’s</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Moody’s Investors Service, Inc.</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MPUC</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Minnesota Public Utilities Commission</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Mva</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Megavolt amperes</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MW</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Megawatts</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NAV</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Net asset value</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NECA</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National Electrical Contractors Association</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NERC</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North American Electric Reliability Corporation</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Netflix</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Netflix, Inc.</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NFGC</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National Fuel Gas Company, a New Jersey corporation</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NGA</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Natural Gas Act of 1938</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NGLs</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Natural gas liquids</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NGPA</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Natural Gas Policy Act of 1978</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NGPSA</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Natural Gas Pipeline Safety Act of 1968</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NOLs</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Net operating losses</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NRG</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NRG Energy, Inc.</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NYSE</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OBBBA</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Tax reform legislation informally known as the One Big Beautiful Bill Act</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Ohio Securities Purchase Agreement</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Securities Purchase Agreement, dated as of October 20, 2025, by and between CERC Corp. and NFGC</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OPEIU</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Office &amp; Professional Employees International Union</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Oriden</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Oriden LLC</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Origis</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Origis Energy USA Inc.</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OUCC</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Indiana Office of Utility Consumer Counselor</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OVEC</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Ohio Valley Electric Corporation</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PHMSA</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Pipeline and Hazardous Materials Safety Administration</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PIPES Act</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212529"/>
              </w:rPr>
              <w:t>Protecting Our Infrastructure of Pipelines and Enhancing Safety Act of 2020</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Posey Solar</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212529"/>
              </w:rPr>
              <w:t>Posey Solar, LLC, a Delaware limited liability company</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PPA</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Power purchase agreement</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PRPs</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Potentially responsible parties</w:t>
            </w: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PTCs</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Production Tax Credits</w:t>
            </w:r>
          </w:p>
        </w:tc>
      </w:tr>
      <w:tr>
        <w:trPr>
          <w:trHeight w:val="17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PUCO</w:t>
            </w:r>
          </w:p>
        </w:tc>
        <w:tc>
          <w:tcPr>
            <w:tcW w:w="8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Public Utilities Commission of Ohio</w:t>
            </w:r>
          </w:p>
        </w:tc>
      </w:tr>
      <w:tr>
        <w:trPr>
          <w:trHeight w:val="167"/>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PUCT</w:t>
            </w:r>
          </w:p>
        </w:tc>
        <w:tc>
          <w:tcPr>
            <w:tcW w:w="8360" w:type="dxa"/>
            <w:vAlign w:val="bottom"/>
          </w:tcPr>
          <w:p>
            <w:pPr>
              <w:ind w:left="960"/>
              <w:spacing w:after="0"/>
              <w:rPr>
                <w:sz w:val="20"/>
                <w:szCs w:val="20"/>
                <w:color w:val="auto"/>
              </w:rPr>
            </w:pPr>
            <w:r>
              <w:rPr>
                <w:rFonts w:ascii="Times New Roman" w:cs="Times New Roman" w:eastAsia="Times New Roman" w:hAnsi="Times New Roman"/>
                <w:sz w:val="13"/>
                <w:szCs w:val="13"/>
                <w:color w:val="auto"/>
              </w:rPr>
              <w:t>Public Utility Commission of Texas</w:t>
            </w:r>
          </w:p>
        </w:tc>
      </w:tr>
      <w:tr>
        <w:trPr>
          <w:trHeight w:val="767"/>
        </w:trPr>
        <w:tc>
          <w:tcPr>
            <w:tcW w:w="292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98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r>
      <w:tr>
        <w:trPr>
          <w:trHeight w:val="17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Railroad Commission</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Railroad Commission of Texas</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RCRA</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Resource Conservation and Recovery Act of 1976</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Registrant</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Each of CenterPoint Energy, Inc., CenterPoint Energy Houston Electric, LLC and CenterPoint Energy Resources Corp.</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Reliant Energy</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Reliant Energy, Incorporated</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REP</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Retail electric provider</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CenterPoint Energy Restoration Bond Company II, LLC, a wholly-owned subsidiary of Houston Electric</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 Securitization Bonds</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Restoration Bond Company II’s Series 2025-A Senior Secured System Restoration Bonds</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III</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CenterPoint Energy Restoration Bond Company III, LLC, a wholly-owned subsidiary of Houston Electric</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Restructuring</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CERC Corp.’s common control acquisition of Indiana Gas and CEOH from VUH on June 30, 2022</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ROE</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Return on equity</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ROU</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Right of use</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S&amp;P</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S&amp;P Global Ratings, a division of S&amp;P Global Inc.</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Scope 1 emissions</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Direct source of GHG emissions from a company’s operations</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Scope 2 emissions</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Indirect source of GHG emissions from a company’s energy usage</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Scope 3 emissions</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Indirect source of GHG emissions from a company’s end-users</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SEC</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Securities and Exchange Commission</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Securities Act</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The Securities Act of 1933, as amended</w:t>
            </w:r>
          </w:p>
        </w:tc>
      </w:tr>
      <w:tr>
        <w:trPr>
          <w:trHeight w:val="127"/>
        </w:trPr>
        <w:tc>
          <w:tcPr>
            <w:tcW w:w="3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Securitization Bonds</w:t>
            </w:r>
          </w:p>
        </w:tc>
        <w:tc>
          <w:tcPr>
            <w:tcW w:w="7980" w:type="dxa"/>
            <w:vAlign w:val="bottom"/>
          </w:tcPr>
          <w:p>
            <w:pPr>
              <w:ind w:left="580"/>
              <w:spacing w:after="0" w:line="128" w:lineRule="exact"/>
              <w:rPr>
                <w:sz w:val="20"/>
                <w:szCs w:val="20"/>
                <w:color w:val="auto"/>
              </w:rPr>
            </w:pPr>
            <w:r>
              <w:rPr>
                <w:rFonts w:ascii="Times New Roman" w:cs="Times New Roman" w:eastAsia="Times New Roman" w:hAnsi="Times New Roman"/>
                <w:sz w:val="13"/>
                <w:szCs w:val="13"/>
                <w:color w:val="auto"/>
                <w:w w:val="97"/>
              </w:rPr>
              <w:t>Transition and system restoration bonds issued by the Bond Companies and SIGECO Securitization Bonds issued by the SIGECO Securitization</w:t>
            </w:r>
          </w:p>
        </w:tc>
      </w:tr>
      <w:tr>
        <w:trPr>
          <w:trHeight w:val="168"/>
        </w:trPr>
        <w:tc>
          <w:tcPr>
            <w:tcW w:w="3300" w:type="dxa"/>
            <w:vAlign w:val="bottom"/>
          </w:tcPr>
          <w:p>
            <w:pPr>
              <w:spacing w:after="0"/>
              <w:rPr>
                <w:sz w:val="14"/>
                <w:szCs w:val="14"/>
                <w:color w:val="auto"/>
              </w:rPr>
            </w:pP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Subsidiary</w:t>
            </w: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Seller Note Agreement</w:t>
            </w:r>
          </w:p>
        </w:tc>
        <w:tc>
          <w:tcPr>
            <w:tcW w:w="7980" w:type="dxa"/>
            <w:vAlign w:val="bottom"/>
            <w:shd w:val="clear" w:color="auto" w:fill="CCEEFF"/>
          </w:tcPr>
          <w:p>
            <w:pPr>
              <w:ind w:left="580"/>
              <w:spacing w:after="0" w:line="129" w:lineRule="exact"/>
              <w:rPr>
                <w:sz w:val="20"/>
                <w:szCs w:val="20"/>
                <w:color w:val="auto"/>
              </w:rPr>
            </w:pPr>
            <w:r>
              <w:rPr>
                <w:rFonts w:ascii="Times New Roman" w:cs="Times New Roman" w:eastAsia="Times New Roman" w:hAnsi="Times New Roman"/>
                <w:sz w:val="13"/>
                <w:szCs w:val="13"/>
                <w:color w:val="auto"/>
              </w:rPr>
              <w:t>Seller Note Agreement by and between CERC Corp. and NFGC to be entered into at the closing of the proposed sale of all of the issued and</w:t>
            </w:r>
          </w:p>
        </w:tc>
      </w:tr>
      <w:tr>
        <w:trPr>
          <w:trHeight w:val="170"/>
        </w:trPr>
        <w:tc>
          <w:tcPr>
            <w:tcW w:w="3300" w:type="dxa"/>
            <w:vAlign w:val="bottom"/>
            <w:shd w:val="clear" w:color="auto" w:fill="CCEEFF"/>
          </w:tcPr>
          <w:p>
            <w:pPr>
              <w:spacing w:after="0"/>
              <w:rPr>
                <w:sz w:val="14"/>
                <w:szCs w:val="14"/>
                <w:color w:val="auto"/>
              </w:rPr>
            </w:pP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outstanding equity interests in CEOH to NFGC contemplated by the Ohio Securities Purchase Agreement</w:t>
            </w:r>
          </w:p>
        </w:tc>
      </w:tr>
      <w:tr>
        <w:trPr>
          <w:trHeight w:val="127"/>
        </w:trPr>
        <w:tc>
          <w:tcPr>
            <w:tcW w:w="3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Series A Preferred Stock</w:t>
            </w:r>
          </w:p>
        </w:tc>
        <w:tc>
          <w:tcPr>
            <w:tcW w:w="7980" w:type="dxa"/>
            <w:vAlign w:val="bottom"/>
          </w:tcPr>
          <w:p>
            <w:pPr>
              <w:ind w:left="580"/>
              <w:spacing w:after="0" w:line="128" w:lineRule="exact"/>
              <w:rPr>
                <w:sz w:val="20"/>
                <w:szCs w:val="20"/>
                <w:color w:val="auto"/>
              </w:rPr>
            </w:pPr>
            <w:r>
              <w:rPr>
                <w:rFonts w:ascii="Times New Roman" w:cs="Times New Roman" w:eastAsia="Times New Roman" w:hAnsi="Times New Roman"/>
                <w:sz w:val="13"/>
                <w:szCs w:val="13"/>
                <w:color w:val="auto"/>
              </w:rPr>
              <w:t>CenterPoint Energy’s previously outstanding Series A Fixed-to-Floating Rate Cumulative Redeemable Perpetual Preferred Stock, par value</w:t>
            </w:r>
          </w:p>
        </w:tc>
      </w:tr>
      <w:tr>
        <w:trPr>
          <w:trHeight w:val="168"/>
        </w:trPr>
        <w:tc>
          <w:tcPr>
            <w:tcW w:w="3300" w:type="dxa"/>
            <w:vAlign w:val="bottom"/>
          </w:tcPr>
          <w:p>
            <w:pPr>
              <w:spacing w:after="0"/>
              <w:rPr>
                <w:sz w:val="14"/>
                <w:szCs w:val="14"/>
                <w:color w:val="auto"/>
              </w:rPr>
            </w:pP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$0.01 per share, with a liquidation preference of $1,000 per share</w:t>
            </w: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Series 2025B Bonds</w:t>
            </w:r>
          </w:p>
        </w:tc>
        <w:tc>
          <w:tcPr>
            <w:tcW w:w="7980" w:type="dxa"/>
            <w:vAlign w:val="bottom"/>
            <w:shd w:val="clear" w:color="auto" w:fill="CCEEFF"/>
          </w:tcPr>
          <w:p>
            <w:pPr>
              <w:ind w:left="580"/>
              <w:spacing w:after="0" w:line="129" w:lineRule="exact"/>
              <w:rPr>
                <w:sz w:val="20"/>
                <w:szCs w:val="20"/>
                <w:color w:val="auto"/>
              </w:rPr>
            </w:pPr>
            <w:r>
              <w:rPr>
                <w:rFonts w:ascii="Times New Roman" w:cs="Times New Roman" w:eastAsia="Times New Roman" w:hAnsi="Times New Roman"/>
                <w:sz w:val="13"/>
                <w:szCs w:val="13"/>
                <w:color w:val="auto"/>
                <w:w w:val="97"/>
              </w:rPr>
              <w:t>SIGECO’s 5.09% First Mortgage Bonds, Series 2025B, Tranche A due 2031 and it’s 5.52% First Mortgage Bonds, Series 2025B, Tranche B due</w:t>
            </w:r>
          </w:p>
        </w:tc>
      </w:tr>
      <w:tr>
        <w:trPr>
          <w:trHeight w:val="170"/>
        </w:trPr>
        <w:tc>
          <w:tcPr>
            <w:tcW w:w="3300" w:type="dxa"/>
            <w:vAlign w:val="bottom"/>
            <w:shd w:val="clear" w:color="auto" w:fill="CCEEFF"/>
          </w:tcPr>
          <w:p>
            <w:pPr>
              <w:spacing w:after="0"/>
              <w:rPr>
                <w:sz w:val="14"/>
                <w:szCs w:val="14"/>
                <w:color w:val="auto"/>
              </w:rPr>
            </w:pP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2035</w:t>
            </w:r>
          </w:p>
        </w:tc>
      </w:tr>
      <w:tr>
        <w:trPr>
          <w:trHeight w:val="127"/>
        </w:trPr>
        <w:tc>
          <w:tcPr>
            <w:tcW w:w="3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Series 2025C Bonds</w:t>
            </w:r>
          </w:p>
        </w:tc>
        <w:tc>
          <w:tcPr>
            <w:tcW w:w="7980" w:type="dxa"/>
            <w:vAlign w:val="bottom"/>
          </w:tcPr>
          <w:p>
            <w:pPr>
              <w:ind w:left="580"/>
              <w:spacing w:after="0" w:line="128" w:lineRule="exact"/>
              <w:rPr>
                <w:sz w:val="20"/>
                <w:szCs w:val="20"/>
                <w:color w:val="auto"/>
              </w:rPr>
            </w:pPr>
            <w:r>
              <w:rPr>
                <w:rFonts w:ascii="Times New Roman" w:cs="Times New Roman" w:eastAsia="Times New Roman" w:hAnsi="Times New Roman"/>
                <w:sz w:val="13"/>
                <w:szCs w:val="13"/>
                <w:color w:val="auto"/>
                <w:w w:val="97"/>
              </w:rPr>
              <w:t>SIGECO’s 5.77% First Mortgage Bonds, Series 2025C, Tranche A due 2040 and it’s 6.18% First Mortgage Bonds, Series 2025C, Tranche B due</w:t>
            </w:r>
          </w:p>
        </w:tc>
      </w:tr>
      <w:tr>
        <w:trPr>
          <w:trHeight w:val="168"/>
        </w:trPr>
        <w:tc>
          <w:tcPr>
            <w:tcW w:w="3300" w:type="dxa"/>
            <w:vAlign w:val="bottom"/>
          </w:tcPr>
          <w:p>
            <w:pPr>
              <w:spacing w:after="0"/>
              <w:rPr>
                <w:sz w:val="14"/>
                <w:szCs w:val="14"/>
                <w:color w:val="auto"/>
              </w:rPr>
            </w:pP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2055</w:t>
            </w: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SIGECO</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Southern Indiana Gas and Electric Company, a wholly-owned subsidiary of Vectren</w:t>
            </w:r>
          </w:p>
        </w:tc>
      </w:tr>
      <w:tr>
        <w:trPr>
          <w:trHeight w:val="127"/>
        </w:trPr>
        <w:tc>
          <w:tcPr>
            <w:tcW w:w="3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SIGECO Credit Agreement</w:t>
            </w:r>
          </w:p>
        </w:tc>
        <w:tc>
          <w:tcPr>
            <w:tcW w:w="7980" w:type="dxa"/>
            <w:vAlign w:val="bottom"/>
          </w:tcPr>
          <w:p>
            <w:pPr>
              <w:ind w:left="580"/>
              <w:spacing w:after="0" w:line="128" w:lineRule="exact"/>
              <w:rPr>
                <w:sz w:val="20"/>
                <w:szCs w:val="20"/>
                <w:color w:val="auto"/>
              </w:rPr>
            </w:pPr>
            <w:r>
              <w:rPr>
                <w:rFonts w:ascii="Times New Roman" w:cs="Times New Roman" w:eastAsia="Times New Roman" w:hAnsi="Times New Roman"/>
                <w:sz w:val="13"/>
                <w:szCs w:val="13"/>
                <w:color w:val="auto"/>
              </w:rPr>
              <w:t>Credit Agreement, dated as of December 6, 2022, by and among SIGECO, as borrower, Wells Fargo Bank, National Association, as</w:t>
            </w:r>
          </w:p>
        </w:tc>
      </w:tr>
      <w:tr>
        <w:trPr>
          <w:trHeight w:val="168"/>
        </w:trPr>
        <w:tc>
          <w:tcPr>
            <w:tcW w:w="3300" w:type="dxa"/>
            <w:vAlign w:val="bottom"/>
          </w:tcPr>
          <w:p>
            <w:pPr>
              <w:spacing w:after="0"/>
              <w:rPr>
                <w:sz w:val="14"/>
                <w:szCs w:val="14"/>
                <w:color w:val="auto"/>
              </w:rPr>
            </w:pP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administrative agent, the financial institutions as banks parties thereto and the other parties thereto</w:t>
            </w: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SIGECO Extension Agreement</w:t>
            </w:r>
          </w:p>
        </w:tc>
        <w:tc>
          <w:tcPr>
            <w:tcW w:w="7980" w:type="dxa"/>
            <w:vAlign w:val="bottom"/>
            <w:shd w:val="clear" w:color="auto" w:fill="CCEEFF"/>
          </w:tcPr>
          <w:p>
            <w:pPr>
              <w:ind w:left="580"/>
              <w:spacing w:after="0" w:line="129" w:lineRule="exact"/>
              <w:rPr>
                <w:sz w:val="20"/>
                <w:szCs w:val="20"/>
                <w:color w:val="auto"/>
              </w:rPr>
            </w:pPr>
            <w:r>
              <w:rPr>
                <w:rFonts w:ascii="Times New Roman" w:cs="Times New Roman" w:eastAsia="Times New Roman" w:hAnsi="Times New Roman"/>
                <w:sz w:val="13"/>
                <w:szCs w:val="13"/>
                <w:color w:val="auto"/>
              </w:rPr>
              <w:t>Extension Agreement to the SIGECO Credit Agreement, dated as of January 29, 2025, by and among SIGECO, Wells Fargo Bank, National</w:t>
            </w:r>
          </w:p>
        </w:tc>
      </w:tr>
      <w:tr>
        <w:trPr>
          <w:trHeight w:val="170"/>
        </w:trPr>
        <w:tc>
          <w:tcPr>
            <w:tcW w:w="3300" w:type="dxa"/>
            <w:vAlign w:val="bottom"/>
            <w:shd w:val="clear" w:color="auto" w:fill="CCEEFF"/>
          </w:tcPr>
          <w:p>
            <w:pPr>
              <w:spacing w:after="0"/>
              <w:rPr>
                <w:sz w:val="14"/>
                <w:szCs w:val="14"/>
                <w:color w:val="auto"/>
              </w:rPr>
            </w:pP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Association, as administrative agent and the banks party thereto</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SIGECO Securitization Bonds</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SIGECO Securitization Subsidiary’s Series 2023-A Senior Secured Securitization Bonds</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SIGECO Securitization Subsidiary</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SIGECO Securitization I, LLC, a direct, wholly-owned subsidiary of SIGECO</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SOFR</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Secured Overnight Financing Rate</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SRC</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Sales Reconciliation Component</w:t>
            </w:r>
          </w:p>
        </w:tc>
      </w:tr>
      <w:tr>
        <w:trPr>
          <w:trHeight w:val="127"/>
        </w:trPr>
        <w:tc>
          <w:tcPr>
            <w:tcW w:w="3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SRP</w:t>
            </w:r>
          </w:p>
        </w:tc>
        <w:tc>
          <w:tcPr>
            <w:tcW w:w="7980" w:type="dxa"/>
            <w:vAlign w:val="bottom"/>
          </w:tcPr>
          <w:p>
            <w:pPr>
              <w:ind w:left="580"/>
              <w:spacing w:after="0" w:line="128" w:lineRule="exact"/>
              <w:rPr>
                <w:sz w:val="20"/>
                <w:szCs w:val="20"/>
                <w:color w:val="auto"/>
              </w:rPr>
            </w:pPr>
            <w:r>
              <w:rPr>
                <w:rFonts w:ascii="Times New Roman" w:cs="Times New Roman" w:eastAsia="Times New Roman" w:hAnsi="Times New Roman"/>
                <w:sz w:val="13"/>
                <w:szCs w:val="13"/>
                <w:color w:val="auto"/>
              </w:rPr>
              <w:t>The transmission and distribution system resiliency plan filed by Houston Electric with the PUCT on January 31, 2025, which proposes</w:t>
            </w:r>
          </w:p>
        </w:tc>
      </w:tr>
      <w:tr>
        <w:trPr>
          <w:trHeight w:val="127"/>
        </w:trPr>
        <w:tc>
          <w:tcPr>
            <w:tcW w:w="3300" w:type="dxa"/>
            <w:vAlign w:val="bottom"/>
          </w:tcPr>
          <w:p>
            <w:pPr>
              <w:spacing w:after="0"/>
              <w:rPr>
                <w:sz w:val="11"/>
                <w:szCs w:val="11"/>
                <w:color w:val="auto"/>
              </w:rPr>
            </w:pPr>
          </w:p>
        </w:tc>
        <w:tc>
          <w:tcPr>
            <w:tcW w:w="7980" w:type="dxa"/>
            <w:vAlign w:val="bottom"/>
          </w:tcPr>
          <w:p>
            <w:pPr>
              <w:ind w:left="580"/>
              <w:spacing w:after="0" w:line="128" w:lineRule="exact"/>
              <w:rPr>
                <w:sz w:val="20"/>
                <w:szCs w:val="20"/>
                <w:color w:val="auto"/>
              </w:rPr>
            </w:pPr>
            <w:r>
              <w:rPr>
                <w:rFonts w:ascii="Times New Roman" w:cs="Times New Roman" w:eastAsia="Times New Roman" w:hAnsi="Times New Roman"/>
                <w:sz w:val="13"/>
                <w:szCs w:val="13"/>
                <w:color w:val="auto"/>
              </w:rPr>
              <w:t>investing approximately $5.75 billion over a three-year period for transmission and distribution infrastructure, information technology and</w:t>
            </w:r>
          </w:p>
        </w:tc>
      </w:tr>
      <w:tr>
        <w:trPr>
          <w:trHeight w:val="168"/>
        </w:trPr>
        <w:tc>
          <w:tcPr>
            <w:tcW w:w="3300" w:type="dxa"/>
            <w:vAlign w:val="bottom"/>
          </w:tcPr>
          <w:p>
            <w:pPr>
              <w:spacing w:after="0"/>
              <w:rPr>
                <w:sz w:val="14"/>
                <w:szCs w:val="14"/>
                <w:color w:val="auto"/>
              </w:rPr>
            </w:pP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cybersecurity assets and event response capability</w:t>
            </w: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TBD</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To be determined</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TCA</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Texas Consumer Association</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TCJA</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Tax reform legislation informally called the Tax Cuts and Jobs Act of 2017</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TCOS</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Transmission Cost of Service</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TCRF</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Transmission Cost Recovery Factor</w:t>
            </w: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TDSIC</w:t>
            </w:r>
          </w:p>
        </w:tc>
        <w:tc>
          <w:tcPr>
            <w:tcW w:w="7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Transmission, Distribution and Storage System Improvement Charge</w:t>
            </w: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TDU</w:t>
            </w:r>
          </w:p>
        </w:tc>
        <w:tc>
          <w:tcPr>
            <w:tcW w:w="7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Transmission and distribution utility</w:t>
            </w:r>
          </w:p>
        </w:tc>
      </w:tr>
      <w:tr>
        <w:trPr>
          <w:trHeight w:val="765"/>
        </w:trPr>
        <w:tc>
          <w:tcPr>
            <w:tcW w:w="330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TEEEF</w:t>
            </w:r>
          </w:p>
        </w:tc>
        <w:tc>
          <w:tcPr>
            <w:tcW w:w="844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c>
          <w:tcPr>
            <w:tcW w:w="0" w:type="dxa"/>
            <w:vAlign w:val="bottom"/>
          </w:tcPr>
          <w:p>
            <w:pPr>
              <w:spacing w:after="0"/>
              <w:rPr>
                <w:sz w:val="1"/>
                <w:szCs w:val="1"/>
                <w:color w:val="auto"/>
              </w:rPr>
            </w:pPr>
          </w:p>
        </w:tc>
      </w:tr>
      <w:tr>
        <w:trPr>
          <w:trHeight w:val="128"/>
        </w:trPr>
        <w:tc>
          <w:tcPr>
            <w:tcW w:w="2840" w:type="dxa"/>
            <w:vAlign w:val="bottom"/>
            <w:vMerge w:val="continue"/>
          </w:tcPr>
          <w:p>
            <w:pPr>
              <w:spacing w:after="0"/>
              <w:rPr>
                <w:sz w:val="11"/>
                <w:szCs w:val="11"/>
                <w:color w:val="auto"/>
              </w:rPr>
            </w:pPr>
          </w:p>
        </w:tc>
        <w:tc>
          <w:tcPr>
            <w:tcW w:w="8440" w:type="dxa"/>
            <w:vAlign w:val="bottom"/>
          </w:tcPr>
          <w:p>
            <w:pPr>
              <w:ind w:left="1040"/>
              <w:spacing w:after="0" w:line="128" w:lineRule="exact"/>
              <w:rPr>
                <w:sz w:val="20"/>
                <w:szCs w:val="20"/>
                <w:color w:val="auto"/>
              </w:rPr>
            </w:pPr>
            <w:r>
              <w:rPr>
                <w:rFonts w:ascii="Times New Roman" w:cs="Times New Roman" w:eastAsia="Times New Roman" w:hAnsi="Times New Roman"/>
                <w:sz w:val="13"/>
                <w:szCs w:val="13"/>
                <w:color w:val="auto"/>
              </w:rPr>
              <w:t>Assets leased or costs incurred as “temporary emergency electric energy facilities” under Section 39.918 of the Public Utility Regulatory Act,</w:t>
            </w:r>
          </w:p>
        </w:tc>
        <w:tc>
          <w:tcPr>
            <w:tcW w:w="0" w:type="dxa"/>
            <w:vAlign w:val="bottom"/>
          </w:tcPr>
          <w:p>
            <w:pPr>
              <w:spacing w:after="0"/>
              <w:rPr>
                <w:sz w:val="1"/>
                <w:szCs w:val="1"/>
                <w:color w:val="auto"/>
              </w:rPr>
            </w:pPr>
          </w:p>
        </w:tc>
      </w:tr>
      <w:tr>
        <w:trPr>
          <w:trHeight w:val="168"/>
        </w:trPr>
        <w:tc>
          <w:tcPr>
            <w:tcW w:w="2840" w:type="dxa"/>
            <w:vAlign w:val="bottom"/>
          </w:tcPr>
          <w:p>
            <w:pPr>
              <w:spacing w:after="0"/>
              <w:rPr>
                <w:sz w:val="14"/>
                <w:szCs w:val="14"/>
                <w:color w:val="auto"/>
              </w:rPr>
            </w:pP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also referred to as temporary generation</w:t>
            </w:r>
          </w:p>
        </w:tc>
        <w:tc>
          <w:tcPr>
            <w:tcW w:w="0" w:type="dxa"/>
            <w:vAlign w:val="bottom"/>
          </w:tcPr>
          <w:p>
            <w:pPr>
              <w:spacing w:after="0"/>
              <w:rPr>
                <w:sz w:val="1"/>
                <w:szCs w:val="1"/>
                <w:color w:val="auto"/>
              </w:rPr>
            </w:pPr>
          </w:p>
        </w:tc>
      </w:tr>
      <w:tr>
        <w:trPr>
          <w:trHeight w:val="17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TEEEF Rule</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Texas Administrative Code, Title 16, Section 25.56, which became effective January 8, 2025 and was further amended on February 6, 2025</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Texas RE</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Texas Reliability Entity</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Transition Bond Company IV</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CenterPoint Energy Transition Bond Company IV, LLC, a wholly-owned subsidiary of Houston Electric</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TSA</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Transportation Security Administration</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USW</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United Steelworkers Union</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UWUA</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Utility Workers Union of America</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Holding</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Utility Holding, LLC, a wholly-owned subsidiary of CenterPoint Energy</w:t>
            </w:r>
          </w:p>
        </w:tc>
        <w:tc>
          <w:tcPr>
            <w:tcW w:w="0" w:type="dxa"/>
            <w:vAlign w:val="bottom"/>
          </w:tcPr>
          <w:p>
            <w:pPr>
              <w:spacing w:after="0"/>
              <w:rPr>
                <w:sz w:val="1"/>
                <w:szCs w:val="1"/>
                <w:color w:val="auto"/>
              </w:rPr>
            </w:pPr>
          </w:p>
        </w:tc>
      </w:tr>
      <w:tr>
        <w:trPr>
          <w:trHeight w:val="127"/>
        </w:trPr>
        <w:tc>
          <w:tcPr>
            <w:tcW w:w="28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Vectren</w:t>
            </w:r>
          </w:p>
        </w:tc>
        <w:tc>
          <w:tcPr>
            <w:tcW w:w="8440" w:type="dxa"/>
            <w:vAlign w:val="bottom"/>
          </w:tcPr>
          <w:p>
            <w:pPr>
              <w:ind w:left="1040"/>
              <w:spacing w:after="0" w:line="128" w:lineRule="exact"/>
              <w:rPr>
                <w:sz w:val="20"/>
                <w:szCs w:val="20"/>
                <w:color w:val="auto"/>
              </w:rPr>
            </w:pPr>
            <w:r>
              <w:rPr>
                <w:rFonts w:ascii="Times New Roman" w:cs="Times New Roman" w:eastAsia="Times New Roman" w:hAnsi="Times New Roman"/>
                <w:sz w:val="13"/>
                <w:szCs w:val="13"/>
                <w:color w:val="auto"/>
              </w:rPr>
              <w:t>Vectren, LLC, which converted its corporate structure from Vectren Corporation to a limited liability company on June 30, 2022, a wholly-</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8440" w:type="dxa"/>
            <w:vAlign w:val="bottom"/>
          </w:tcPr>
          <w:p>
            <w:pPr>
              <w:ind w:left="1040"/>
              <w:spacing w:after="0" w:line="128" w:lineRule="exact"/>
              <w:rPr>
                <w:sz w:val="20"/>
                <w:szCs w:val="20"/>
                <w:color w:val="auto"/>
              </w:rPr>
            </w:pPr>
            <w:r>
              <w:rPr>
                <w:rFonts w:ascii="Times New Roman" w:cs="Times New Roman" w:eastAsia="Times New Roman" w:hAnsi="Times New Roman"/>
                <w:sz w:val="13"/>
                <w:szCs w:val="13"/>
                <w:color w:val="auto"/>
                <w:w w:val="99"/>
              </w:rPr>
              <w:t>owned subsidiary of CenterPoint Energy as of February 1, 2019, and, after the Restructuring, is held indirectly by CenterPoint Energy through</w:t>
            </w:r>
          </w:p>
        </w:tc>
        <w:tc>
          <w:tcPr>
            <w:tcW w:w="0" w:type="dxa"/>
            <w:vAlign w:val="bottom"/>
          </w:tcPr>
          <w:p>
            <w:pPr>
              <w:spacing w:after="0"/>
              <w:rPr>
                <w:sz w:val="1"/>
                <w:szCs w:val="1"/>
                <w:color w:val="auto"/>
              </w:rPr>
            </w:pPr>
          </w:p>
        </w:tc>
      </w:tr>
      <w:tr>
        <w:trPr>
          <w:trHeight w:val="168"/>
        </w:trPr>
        <w:tc>
          <w:tcPr>
            <w:tcW w:w="2840" w:type="dxa"/>
            <w:vAlign w:val="bottom"/>
          </w:tcPr>
          <w:p>
            <w:pPr>
              <w:spacing w:after="0"/>
              <w:rPr>
                <w:sz w:val="14"/>
                <w:szCs w:val="14"/>
                <w:color w:val="auto"/>
              </w:rPr>
            </w:pP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Vectren Affiliated Utilities, Inc.</w:t>
            </w:r>
          </w:p>
        </w:tc>
        <w:tc>
          <w:tcPr>
            <w:tcW w:w="0" w:type="dxa"/>
            <w:vAlign w:val="bottom"/>
          </w:tcPr>
          <w:p>
            <w:pPr>
              <w:spacing w:after="0"/>
              <w:rPr>
                <w:sz w:val="1"/>
                <w:szCs w:val="1"/>
                <w:color w:val="auto"/>
              </w:rPr>
            </w:pPr>
          </w:p>
        </w:tc>
      </w:tr>
      <w:tr>
        <w:trPr>
          <w:trHeight w:val="17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Vectren Energy Services</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Vectren Energy Services Corporation, an Indiana corporation and a wholly-owned subsidiary of CenterPoint Energy</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VIE</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Variable interest entity</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Vistra Energy Corp.</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Texas-based energy company focused on the competitive energy and power generation markets.</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VRP</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Voluntary Remediation Program</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WBD</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Warner Bros. Discovery, Inc.</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WBD Common</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212529"/>
              </w:rPr>
              <w:t>Warner Bros. Discovery, Inc. Series A common stock</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ZENS</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2.0% Zero-Premium Exchangeable Subordinated Notes due 2029</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ZENS-Related Securities</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As of December 31, 2025 and December 31, 2024, consisted of AT&amp;T Common, Charter Common and WBD Common</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2024 Form 10-K</w:t>
            </w: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Annual Report on Form 10-K for the fiscal year ended December 31, 2024</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2026 Convertible Notes</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CenterPoint Energy’s 4.25% Convertible Senior Notes due 2026</w:t>
            </w:r>
          </w:p>
        </w:tc>
        <w:tc>
          <w:tcPr>
            <w:tcW w:w="0" w:type="dxa"/>
            <w:vAlign w:val="bottom"/>
          </w:tcPr>
          <w:p>
            <w:pPr>
              <w:spacing w:after="0"/>
              <w:rPr>
                <w:sz w:val="1"/>
                <w:szCs w:val="1"/>
                <w:color w:val="auto"/>
              </w:rPr>
            </w:pPr>
          </w:p>
        </w:tc>
      </w:tr>
      <w:tr>
        <w:trPr>
          <w:trHeight w:val="128"/>
        </w:trPr>
        <w:tc>
          <w:tcPr>
            <w:tcW w:w="2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2026 Convertible Notes Indenture</w:t>
            </w:r>
          </w:p>
        </w:tc>
        <w:tc>
          <w:tcPr>
            <w:tcW w:w="8440" w:type="dxa"/>
            <w:vAlign w:val="bottom"/>
            <w:shd w:val="clear" w:color="auto" w:fill="CCEEFF"/>
          </w:tcPr>
          <w:p>
            <w:pPr>
              <w:ind w:left="1040"/>
              <w:spacing w:after="0" w:line="129" w:lineRule="exact"/>
              <w:rPr>
                <w:sz w:val="20"/>
                <w:szCs w:val="20"/>
                <w:color w:val="auto"/>
              </w:rPr>
            </w:pPr>
            <w:r>
              <w:rPr>
                <w:rFonts w:ascii="Times New Roman" w:cs="Times New Roman" w:eastAsia="Times New Roman" w:hAnsi="Times New Roman"/>
                <w:sz w:val="13"/>
                <w:szCs w:val="13"/>
                <w:color w:val="auto"/>
              </w:rPr>
              <w:t>Indenture dated as of August 4, 2023 by and between CenterPoint Energy and The Bank of New York Mellon Trust Company, National</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spacing w:after="0"/>
              <w:rPr>
                <w:sz w:val="14"/>
                <w:szCs w:val="14"/>
                <w:color w:val="auto"/>
              </w:rPr>
            </w:pP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Association, as trustee, as supplemented</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2028 Convertible Notes</w:t>
            </w:r>
          </w:p>
        </w:tc>
        <w:tc>
          <w:tcPr>
            <w:tcW w:w="844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CenterPoint Energy’s 3.00% Convertible Senior Notes due 2028</w:t>
            </w:r>
          </w:p>
        </w:tc>
        <w:tc>
          <w:tcPr>
            <w:tcW w:w="0" w:type="dxa"/>
            <w:vAlign w:val="bottom"/>
          </w:tcPr>
          <w:p>
            <w:pPr>
              <w:spacing w:after="0"/>
              <w:rPr>
                <w:sz w:val="1"/>
                <w:szCs w:val="1"/>
                <w:color w:val="auto"/>
              </w:rPr>
            </w:pPr>
          </w:p>
        </w:tc>
      </w:tr>
      <w:tr>
        <w:trPr>
          <w:trHeight w:val="128"/>
        </w:trPr>
        <w:tc>
          <w:tcPr>
            <w:tcW w:w="2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2028 Convertible Notes Indenture</w:t>
            </w:r>
          </w:p>
        </w:tc>
        <w:tc>
          <w:tcPr>
            <w:tcW w:w="8440" w:type="dxa"/>
            <w:vAlign w:val="bottom"/>
            <w:shd w:val="clear" w:color="auto" w:fill="CCEEFF"/>
          </w:tcPr>
          <w:p>
            <w:pPr>
              <w:ind w:left="1040"/>
              <w:spacing w:after="0" w:line="129" w:lineRule="exact"/>
              <w:rPr>
                <w:sz w:val="20"/>
                <w:szCs w:val="20"/>
                <w:color w:val="auto"/>
              </w:rPr>
            </w:pPr>
            <w:r>
              <w:rPr>
                <w:rFonts w:ascii="Times New Roman" w:cs="Times New Roman" w:eastAsia="Times New Roman" w:hAnsi="Times New Roman"/>
                <w:sz w:val="13"/>
                <w:szCs w:val="13"/>
                <w:color w:val="auto"/>
              </w:rPr>
              <w:t>Indenture, dated as of July 31, 2025, by and between CenterPoint Energy and The Bank of New York Mellon Trust Company, National</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spacing w:after="0"/>
              <w:rPr>
                <w:sz w:val="14"/>
                <w:szCs w:val="14"/>
                <w:color w:val="auto"/>
              </w:rPr>
            </w:pPr>
          </w:p>
        </w:tc>
        <w:tc>
          <w:tcPr>
            <w:tcW w:w="84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Association, as trustee</w:t>
            </w:r>
          </w:p>
        </w:tc>
        <w:tc>
          <w:tcPr>
            <w:tcW w:w="0" w:type="dxa"/>
            <w:vAlign w:val="bottom"/>
          </w:tcPr>
          <w:p>
            <w:pPr>
              <w:spacing w:after="0"/>
              <w:rPr>
                <w:sz w:val="1"/>
                <w:szCs w:val="1"/>
                <w:color w:val="auto"/>
              </w:rPr>
            </w:pPr>
          </w:p>
        </w:tc>
      </w:tr>
      <w:tr>
        <w:trPr>
          <w:trHeight w:val="956"/>
        </w:trPr>
        <w:tc>
          <w:tcPr>
            <w:tcW w:w="284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836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20" w:type="dxa"/>
            <w:vAlign w:val="bottom"/>
          </w:tcPr>
          <w:p>
            <w:pPr>
              <w:spacing w:after="0"/>
              <w:rPr>
                <w:sz w:val="23"/>
                <w:szCs w:val="23"/>
                <w:color w:val="auto"/>
              </w:rPr>
            </w:pPr>
          </w:p>
        </w:tc>
        <w:tc>
          <w:tcPr>
            <w:tcW w:w="8360" w:type="dxa"/>
            <w:vAlign w:val="bottom"/>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1980" w:type="dxa"/>
            <w:vAlign w:val="bottom"/>
            <w:gridSpan w:val="8"/>
            <w:vMerge w:val="restart"/>
          </w:tcPr>
          <w:p>
            <w:pPr>
              <w:ind w:left="158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19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836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1660" w:type="dxa"/>
            <w:vAlign w:val="bottom"/>
            <w:tcBorders>
              <w:bottom w:val="single" w:sz="8" w:color="CCEEFF"/>
            </w:tcBorders>
            <w:gridSpan w:val="3"/>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1A.</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Risk Factors</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19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1B.</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Unresolved Staff Comments</w:t>
            </w:r>
          </w:p>
        </w:tc>
        <w:tc>
          <w:tcPr>
            <w:tcW w:w="16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44</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1C.</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Cybersecurity</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44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2.</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Properties</w:t>
            </w:r>
          </w:p>
        </w:tc>
        <w:tc>
          <w:tcPr>
            <w:tcW w:w="16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45</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Legal Proceedings</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8360" w:type="dxa"/>
            <w:vAlign w:val="bottom"/>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Mine Safety Disclosures</w:t>
            </w:r>
          </w:p>
        </w:tc>
        <w:tc>
          <w:tcPr>
            <w:tcW w:w="1760" w:type="dxa"/>
            <w:vAlign w:val="bottom"/>
            <w:gridSpan w:val="5"/>
            <w:shd w:val="clear" w:color="auto" w:fill="CCEEFF"/>
          </w:tcPr>
          <w:p>
            <w:pPr>
              <w:jc w:val="center"/>
              <w:ind w:left="1553"/>
              <w:spacing w:after="0" w:line="155" w:lineRule="exact"/>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Borders>
              <w:top w:val="single" w:sz="8" w:color="CCEEFF"/>
            </w:tcBorders>
          </w:tcPr>
          <w:p>
            <w:pPr>
              <w:spacing w:after="0"/>
              <w:rPr>
                <w:sz w:val="15"/>
                <w:szCs w:val="15"/>
                <w:color w:val="auto"/>
              </w:rPr>
            </w:pPr>
          </w:p>
        </w:tc>
        <w:tc>
          <w:tcPr>
            <w:tcW w:w="8360" w:type="dxa"/>
            <w:vAlign w:val="bottom"/>
            <w:tcBorders>
              <w:top w:val="single" w:sz="8" w:color="CCEEFF"/>
            </w:tcBorders>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w w:val="95"/>
              </w:rPr>
              <w:t>PART II</w:t>
            </w:r>
          </w:p>
        </w:tc>
        <w:tc>
          <w:tcPr>
            <w:tcW w:w="15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836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1620" w:type="dxa"/>
            <w:vAlign w:val="bottom"/>
            <w:tcBorders>
              <w:bottom w:val="single" w:sz="8" w:color="CCEEFF"/>
            </w:tcBorders>
            <w:gridSpan w:val="2"/>
            <w:shd w:val="clear" w:color="auto" w:fill="CCEEFF"/>
          </w:tcPr>
          <w:p>
            <w:pPr>
              <w:spacing w:after="0"/>
              <w:rPr>
                <w:sz w:val="13"/>
                <w:szCs w:val="13"/>
                <w:color w:val="auto"/>
              </w:rPr>
            </w:pPr>
          </w:p>
        </w:tc>
        <w:tc>
          <w:tcPr>
            <w:tcW w:w="140" w:type="dxa"/>
            <w:vAlign w:val="bottom"/>
            <w:tcBorders>
              <w:bottom w:val="single" w:sz="8" w:color="0000FF"/>
            </w:tcBorders>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50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[Reserved]</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50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7.</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6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50</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7A.</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87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8.</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16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90</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158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9A.</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Controls and Procedures</w:t>
            </w:r>
          </w:p>
        </w:tc>
        <w:tc>
          <w:tcPr>
            <w:tcW w:w="1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0000FF"/>
            </w:tcBorders>
            <w:gridSpan w:val="5"/>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180</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9B.</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Information</w:t>
            </w:r>
          </w:p>
        </w:tc>
        <w:tc>
          <w:tcPr>
            <w:tcW w:w="158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9C.</w:t>
            </w:r>
          </w:p>
        </w:tc>
        <w:tc>
          <w:tcPr>
            <w:tcW w:w="8360" w:type="dxa"/>
            <w:vAlign w:val="bottom"/>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1800" w:type="dxa"/>
            <w:vAlign w:val="bottom"/>
            <w:gridSpan w:val="6"/>
            <w:shd w:val="clear" w:color="auto" w:fill="CCEEFF"/>
          </w:tcPr>
          <w:p>
            <w:pPr>
              <w:jc w:val="center"/>
              <w:ind w:left="1513"/>
              <w:spacing w:after="0" w:line="155" w:lineRule="exact"/>
              <w:rPr>
                <w:sz w:val="20"/>
                <w:szCs w:val="20"/>
                <w:color w:val="auto"/>
              </w:rPr>
            </w:pPr>
            <w:r>
              <w:rPr>
                <w:rFonts w:ascii="Times New Roman" w:cs="Times New Roman" w:eastAsia="Times New Roman" w:hAnsi="Times New Roman"/>
                <w:sz w:val="14"/>
                <w:szCs w:val="14"/>
                <w:color w:val="0000FF"/>
              </w:rPr>
              <w:t>183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Borders>
              <w:top w:val="single" w:sz="8" w:color="CCEEFF"/>
            </w:tcBorders>
          </w:tcPr>
          <w:p>
            <w:pPr>
              <w:spacing w:after="0"/>
              <w:rPr>
                <w:sz w:val="15"/>
                <w:szCs w:val="15"/>
                <w:color w:val="auto"/>
              </w:rPr>
            </w:pPr>
          </w:p>
        </w:tc>
        <w:tc>
          <w:tcPr>
            <w:tcW w:w="8360" w:type="dxa"/>
            <w:vAlign w:val="bottom"/>
            <w:tcBorders>
              <w:top w:val="single" w:sz="8" w:color="CCEEFF"/>
            </w:tcBorders>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158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836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1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0000FF"/>
            </w:tcBorders>
            <w:gridSpan w:val="5"/>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183</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11.</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Executive Compensation</w:t>
            </w:r>
          </w:p>
        </w:tc>
        <w:tc>
          <w:tcPr>
            <w:tcW w:w="158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12.</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1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0000FF"/>
            </w:tcBorders>
            <w:gridSpan w:val="5"/>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183</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13.</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158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14.</w:t>
            </w:r>
          </w:p>
        </w:tc>
        <w:tc>
          <w:tcPr>
            <w:tcW w:w="8360" w:type="dxa"/>
            <w:vAlign w:val="bottom"/>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Principal Accounting Fees and Services</w:t>
            </w:r>
          </w:p>
        </w:tc>
        <w:tc>
          <w:tcPr>
            <w:tcW w:w="1800" w:type="dxa"/>
            <w:vAlign w:val="bottom"/>
            <w:gridSpan w:val="6"/>
            <w:shd w:val="clear" w:color="auto" w:fill="CCEEFF"/>
          </w:tcPr>
          <w:p>
            <w:pPr>
              <w:jc w:val="center"/>
              <w:ind w:left="1513"/>
              <w:spacing w:after="0" w:line="155" w:lineRule="exact"/>
              <w:rPr>
                <w:sz w:val="20"/>
                <w:szCs w:val="20"/>
                <w:color w:val="auto"/>
              </w:rPr>
            </w:pPr>
            <w:r>
              <w:rPr>
                <w:rFonts w:ascii="Times New Roman" w:cs="Times New Roman" w:eastAsia="Times New Roman" w:hAnsi="Times New Roman"/>
                <w:sz w:val="14"/>
                <w:szCs w:val="14"/>
                <w:color w:val="0000FF"/>
              </w:rPr>
              <w:t>183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Borders>
              <w:top w:val="single" w:sz="8" w:color="CCEEFF"/>
            </w:tcBorders>
          </w:tcPr>
          <w:p>
            <w:pPr>
              <w:spacing w:after="0"/>
              <w:rPr>
                <w:sz w:val="15"/>
                <w:szCs w:val="15"/>
                <w:color w:val="auto"/>
              </w:rPr>
            </w:pPr>
          </w:p>
        </w:tc>
        <w:tc>
          <w:tcPr>
            <w:tcW w:w="8360" w:type="dxa"/>
            <w:vAlign w:val="bottom"/>
            <w:tcBorders>
              <w:top w:val="single" w:sz="8" w:color="CCEEFF"/>
            </w:tcBorders>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158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15.</w:t>
            </w:r>
          </w:p>
        </w:tc>
        <w:tc>
          <w:tcPr>
            <w:tcW w:w="836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Exhibits and Financial Statement Schedules</w:t>
            </w:r>
          </w:p>
        </w:tc>
        <w:tc>
          <w:tcPr>
            <w:tcW w:w="1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0000FF"/>
            </w:tcBorders>
            <w:gridSpan w:val="5"/>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185</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16.</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Form 10-K Summary</w:t>
            </w:r>
          </w:p>
        </w:tc>
        <w:tc>
          <w:tcPr>
            <w:tcW w:w="1580" w:type="dxa"/>
            <w:vAlign w:val="bottom"/>
          </w:tcPr>
          <w:p>
            <w:pPr>
              <w:spacing w:after="0"/>
              <w:rPr>
                <w:sz w:val="12"/>
                <w:szCs w:val="12"/>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62"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10-K, unless context requires otherwise, the terms “our,” “we” and “us” are used as abbreviated references to CenterPoint Energy, Inc. together with its consolidated subsidiaries, including Houston Electric, CERC and SIGECO.</w:t>
      </w:r>
    </w:p>
    <w:p>
      <w:pPr>
        <w:spacing w:after="0" w:line="16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Some of the factors that could cause actual results to differ from those expressed or implied by the Registrants’ forward-looking statements are described under “Risk Factors” in Item 1A and “Management’s Discussion and Analysis of Financial Condition and Results of Operations — Certain Factors Affecting Future Earnings” and “ — Liquidity and Capital Resources — Other Matters — Other Factors That Could Affect Cash Requirements” in Item 7 of Part II of this report, which discussions are incorporated herein by reference.</w:t>
      </w:r>
    </w:p>
    <w:p>
      <w:pPr>
        <w:spacing w:after="0" w:line="157"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other than as required under applicable securities laws, the Registrants undertake no obligation to update or revise any forward-looking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202"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An investment in CenterPoint Energy’s securities involves a significant degree of risk. Below is a summary of certain risk factors to consider in evaluating CenterPoint Energy as well as its Common Stock. However, this list is not exhaustive. Before investing in CenterPoint Energy, carefully consider the risk factors discussed or referenced below and in Item 1A. “Risk Factors” of this combined report on Form 10-K. If any of the risks discussed below and in Item 1A. “Risk Factors” were actually to occur, CenterPoint Energy’s, Houston Electric’s and CERC’s business, financial condition, results of operations or cash flows could be adversely affected. In that case, CenterPoint Energy might not be able to pay dividends on its Common Stock, or the trading price of its Common Stock could decline.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Affecting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 Transmission, Distribution and Generation (CenterPoint Energy and Houston Electric)</w:t>
      </w:r>
    </w:p>
    <w:p>
      <w:pPr>
        <w:spacing w:after="0" w:line="202" w:lineRule="exact"/>
        <w:rPr>
          <w:sz w:val="20"/>
          <w:szCs w:val="20"/>
          <w:color w:val="auto"/>
        </w:rPr>
      </w:pPr>
    </w:p>
    <w:p>
      <w:pPr>
        <w:ind w:left="520" w:right="120" w:hanging="260"/>
        <w:spacing w:after="0" w:line="260" w:lineRule="auto"/>
        <w:tabs>
          <w:tab w:leader="none" w:pos="516"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Disruptions at third-party or Indiana Electric’s power generation facilities, generation inadequacy, directives issued by regulatory authorities or other matters could cause interruptions in Houston Electric’s and Indiana Electric’s ability to provide transmission and distribution services and Houston Electric and Indiana Electric may not be able to promptly respond, repair and restart their facilities, which could adversely affect their businesses, financial condition, results of operations and cash flows.</w:t>
      </w:r>
    </w:p>
    <w:p>
      <w:pPr>
        <w:ind w:left="520" w:right="2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Indiana Electric’s execution of its generation transition plan is subject to various risks, including timely recovery of capital investments and increased costs and risks related to the timing and cost of development and/or construction of new generation facilities.</w:t>
      </w:r>
    </w:p>
    <w:p>
      <w:pPr>
        <w:ind w:left="520" w:right="30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receivables are primarily concentrated in a small number of REPs, and any delay or default in payments of these receivables could adversely affect Houston Electric’s business, financial condition, results of operations and cash flows.</w:t>
      </w:r>
    </w:p>
    <w:p>
      <w:pPr>
        <w:ind w:left="520" w:right="180" w:hanging="260"/>
        <w:spacing w:after="0" w:line="26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use of TEEEF is subject to various risks, potential performance issues and allegations about Houston Electric’s procurement and deployment of the resources (including the planning, execution and effectiveness of the same), regulatory and environmental requirements, and timely recovery of capital.</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Natural Gas (CenterPoint Energy and CERC)</w:t>
      </w:r>
    </w:p>
    <w:p>
      <w:pPr>
        <w:spacing w:after="0" w:line="202"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natural gas supplies and pipeline transmission and storage capacity are essential components of reliable service for our natural gas business customers.</w:t>
      </w:r>
    </w:p>
    <w:p>
      <w:pPr>
        <w:spacing w:after="0" w:line="23" w:lineRule="exact"/>
        <w:rPr>
          <w:rFonts w:ascii="Times New Roman" w:cs="Times New Roman" w:eastAsia="Times New Roman" w:hAnsi="Times New Roman"/>
          <w:sz w:val="14"/>
          <w:szCs w:val="14"/>
          <w:color w:val="auto"/>
        </w:rPr>
      </w:pPr>
    </w:p>
    <w:p>
      <w:pPr>
        <w:ind w:left="520" w:right="5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fluctuations in natural gas prices, which could affect the ability of our suppliers and customers to meet their obligations or may impact our operations, which could adversely affect our business, financial condition, results of operations and cash flows.</w:t>
      </w:r>
    </w:p>
    <w:p>
      <w:pPr>
        <w:ind w:left="520" w:right="220" w:hanging="260"/>
        <w:spacing w:after="0" w:line="26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natural gas businesses must compete with alternate energy sources, which could result in less natural gas delivered and have an adverse impact on our businesses, financial condition, results of operations and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Affecting Regulatory, Environmental and Legal Risks</w:t>
      </w:r>
    </w:p>
    <w:p>
      <w:pPr>
        <w:spacing w:after="0" w:line="202"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regulation of the Registrants’ electric and natural gas businesses may delay or deny their ability to earn an expected return and fully and timely recover their costs.</w:t>
      </w:r>
    </w:p>
    <w:p>
      <w:pPr>
        <w:spacing w:after="0" w:line="23" w:lineRule="exact"/>
        <w:rPr>
          <w:rFonts w:ascii="Times New Roman" w:cs="Times New Roman" w:eastAsia="Times New Roman" w:hAnsi="Times New Roman"/>
          <w:sz w:val="14"/>
          <w:szCs w:val="14"/>
          <w:color w:val="auto"/>
        </w:rPr>
      </w:pPr>
    </w:p>
    <w:p>
      <w:pPr>
        <w:ind w:left="520" w:right="50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successful execution and completion of capital projects and programs, including those within our 10-year capital plan, are subject to substantial risks, and our business, financial condition, results of operations and cash flows could be materially affected should such efforts not be executed and completed as planned.</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involved in numerous legal proceedings, the outcomes of which are uncertain, and resolutions adverse to us could negatively affect our financial results.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opinions of CenterPoint Energy from customers, investors, legislators, regulators, creditors, rating agencies and other stakeholders relating to actual or perceived system reliability and safety, the speed of our response to service interruptions, rates and customer affordability, our ability to successfully execute our capital plan, media coverage and actions by third parties, could harm our reputation and have an adverse impact on our business, financial condition, results of operations and cash flows.</w:t>
      </w:r>
    </w:p>
    <w:p>
      <w:pPr>
        <w:ind w:left="520" w:right="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operational and financial risks and liabilities arising from environmental laws and regulations, including regulation of CCR, federal and state climate change legislation and regulation and certain local initiatives that seek to limit fossil fuel usage.</w:t>
      </w: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is subject to operational and financial risks and liabilities associated with its sustainability and related activities, including the implementation of and efforts to achieve its energy transition goals.</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extensive regulation, which could result in higher costs for system improvements, as well as fines or other sanctions.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Affecting Financial, Economic and Market Risks</w:t>
      </w:r>
    </w:p>
    <w:p>
      <w:pPr>
        <w:spacing w:after="0" w:line="202" w:lineRule="exact"/>
        <w:rPr>
          <w:sz w:val="20"/>
          <w:szCs w:val="20"/>
          <w:color w:val="auto"/>
        </w:rPr>
      </w:pPr>
    </w:p>
    <w:p>
      <w:pPr>
        <w:ind w:left="520" w:right="200" w:hanging="260"/>
        <w:spacing w:after="0" w:line="263" w:lineRule="auto"/>
        <w:tabs>
          <w:tab w:leader="none" w:pos="516"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Disruptions to the global supply chain, inflation, labor shortages and scarcity of certain materials may impact our operations, which could have an adverse impact on our ability to execute our capital plan and on our business, financial condition, results of operations and cash flows.</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arrange future financings on acceptable terms, our ability to finance our capital expenditures and operations or refinance outstanding indebtedness could be limited.</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is a holding company that derives all of its operating income from, and holds substantially all of its assets through, its subsidiaries. As a result, CenterPoint Energy depends on the performance of and distributions from its subsidiaries to meet its payment obligations and to pay dividends on its common stock, and provisions of applicable law or contractual restrictions could limit the amount of those distributions.</w:t>
      </w:r>
    </w:p>
    <w:p>
      <w:pPr>
        <w:ind w:left="520" w:right="140" w:hanging="260"/>
        <w:spacing w:after="0" w:line="266"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CenterPoint Energy redeems the ZENS prior to their maturity in 2029, its ultimate tax liability and redemption payments may result in significant cash payments, which would adversely impact its cash flows and liquidity. Similarly, a significant amount of exchanges of ZENS by ZENS holders could adversely impact CenterPoint Energy’s cash flows and liquidity.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Affecting Safety and Security Risks</w:t>
      </w:r>
    </w:p>
    <w:p>
      <w:pPr>
        <w:spacing w:after="0" w:line="202"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businesses have safety risks.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physical security breaches, acts of terrorism or other disruptions could adversely impact our business, financial condition, results of operations and cash flows.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adoption, development and deployment of AI, which could adversely affect our business, reputation or financial results.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Other Risks</w:t>
      </w:r>
    </w:p>
    <w:p>
      <w:pPr>
        <w:spacing w:after="0" w:line="202"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revenues and results of operations are seasonal.</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could adversely impact our businesses, financial condition, results of operations and cash flows.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risks related to changes in demand and energy consumption that could adversely impact our business, financial condition, results of operations and cash flows.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financial condition, results of operations and cash flows may be adversely affected if we are unable to successfully operate our facilities or perform certain corporate functions.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Aging infrastructure may lead to increased costs and disruptions in operations that could negatively impact our financial results.</w:t>
      </w:r>
    </w:p>
    <w:p>
      <w:pPr>
        <w:spacing w:after="0" w:line="8" w:lineRule="exact"/>
        <w:rPr>
          <w:rFonts w:ascii="Times New Roman" w:cs="Times New Roman" w:eastAsia="Times New Roman" w:hAnsi="Times New Roman"/>
          <w:sz w:val="14"/>
          <w:szCs w:val="14"/>
          <w:color w:val="auto"/>
        </w:rPr>
      </w:pPr>
    </w:p>
    <w:p>
      <w:pPr>
        <w:ind w:left="520" w:right="20" w:hanging="260"/>
        <w:spacing w:after="0" w:line="266"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will continue to have to adapt to, implement and integrate technological change and may not be successful implementing such technological change as designed or may have to make significant investments to adapt to and integrate technological change.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i w:val="1"/>
          <w:iCs w:val="1"/>
          <w:color w:val="auto"/>
        </w:rPr>
        <w:t>Business</w:t>
      </w:r>
    </w:p>
    <w:p>
      <w:pPr>
        <w:spacing w:after="0" w:line="20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This combined Form 10-K is filed separately by three registrants: CenterPoint Energy, Inc., CenterPoint Energy Houston Electric, LLC and CenterPoint Energy Resources Corp. Information contained herein relating to any individual Registrant is filed by such Registrant solely on its own behalf. No Registrant makes any representation as to information relating to the other Registrants or the subsidiaries of CenterPoint Energy, Inc. other than itself or its subsidiaries. Except as discussed in Note 12 to the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64" w:lineRule="exact"/>
        <w:rPr>
          <w:sz w:val="20"/>
          <w:szCs w:val="20"/>
          <w:color w:val="auto"/>
        </w:rPr>
      </w:pPr>
    </w:p>
    <w:p>
      <w:pPr>
        <w:jc w:val="both"/>
        <w:ind w:right="160" w:firstLine="255"/>
        <w:spacing w:after="0" w:line="264" w:lineRule="auto"/>
        <w:rPr>
          <w:sz w:val="20"/>
          <w:szCs w:val="20"/>
          <w:color w:val="auto"/>
        </w:rPr>
      </w:pPr>
      <w:r>
        <w:rPr>
          <w:rFonts w:ascii="Times New Roman" w:cs="Times New Roman" w:eastAsia="Times New Roman" w:hAnsi="Times New Roman"/>
          <w:sz w:val="14"/>
          <w:szCs w:val="14"/>
          <w:color w:val="auto"/>
        </w:rPr>
        <w:t>The discussion of CenterPoint Energy’s consolidated financial information includes the financial results of Houston Electric and CERC. Where appropriate, information relating to a specific Registrant has been segregated and labeled as such. Unless the context indicates otherwise, specific references to Houston Electric and CERC also pertain to CenterPoint Energy. In this combined Form 10-K, the terms “our,” “we” and “us” are used as abbreviated references to CenterPoint Energy, Inc. together with its consolidated subsidiaries, including Houston Electric and CERC, unless otherwise stated.</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202"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is a public utility holding company. CenterPoint Energy’s operating subsidiaries own and operate electric transmission, distribution and generation facilities and natural gas distribution systems.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CenterPoint Energy’s indirect, wholly-owned operating subsidiaries included:</w:t>
      </w:r>
    </w:p>
    <w:p>
      <w:pPr>
        <w:spacing w:after="0" w:line="200" w:lineRule="exact"/>
        <w:rPr>
          <w:sz w:val="20"/>
          <w:szCs w:val="20"/>
          <w:color w:val="auto"/>
        </w:rPr>
      </w:pPr>
    </w:p>
    <w:p>
      <w:pPr>
        <w:ind w:left="520" w:right="20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which provides electric transmission service to transmission service customers in the ERCOT region and distribution service to REPs serving the Texas Gulf Coast area that includes the city of Houston.</w:t>
      </w:r>
    </w:p>
    <w:p>
      <w:pPr>
        <w:spacing w:after="0" w:line="145" w:lineRule="exact"/>
        <w:rPr>
          <w:rFonts w:ascii="Times New Roman" w:cs="Times New Roman" w:eastAsia="Times New Roman" w:hAnsi="Times New Roman"/>
          <w:sz w:val="14"/>
          <w:szCs w:val="14"/>
          <w:color w:val="auto"/>
        </w:rPr>
      </w:pPr>
    </w:p>
    <w:p>
      <w:pPr>
        <w:ind w:left="520" w:right="200" w:hanging="260"/>
        <w:spacing w:after="0" w:line="27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which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156"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which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45"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CenterPoint Energy’s reportable segments were Electric, Natural Gas and Corporate and Other. Houston Electric and CERC each consist of one reportable segment. For a description of CenterPoint Energy’s reportable segments, see Note 16. For a discussion of net income by segment, see “Management’s Discussion and Analysis of Financial Condition and Results of Operations — Results of Operations by Reportable Segment” in Item 7 of Part II of this report.</w:t>
      </w:r>
    </w:p>
    <w:p>
      <w:pPr>
        <w:spacing w:after="0" w:line="15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 approximately $357 million. On March 31, 2025, CenterPoint Energy, through its subsidiary CERC Corp., completed the sale of its Louisiana and Mississippi natural gas LDC businesses for approximately $1.2 billion. On October 20, 2025, CenterPoint Energy, through its subsidiary CERC Corp., entered into the Ohio Securities Purchase Agreement to sell all of the issued and outstanding equity interests in CEOH for total consideration of approximately $2.62 billion, which is comprised of the following: (i) $1.42 billion in cash payable to CERC Corp. upon closing of the transaction, subject to adjustments as set forth in the Ohio Securities Purchase Agreement, including adjustments based on net working capital, regulatory assets and liabilities and capital expenditures at closing of the transaction; and (ii) a 364-day seller promissory note, in the original principal amount of $1.2 billion, to be issued by NFGC at the closing of the transaction and payable to CERC Corp. as provided by the terms and conditions of the Seller Note Agreement. The transaction is expected to close in the fourth quarter of 2026, subject to the satisfaction of customary closing conditions. For further information, see Note 4 to the consolidated financial statements.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principal executive offices are located at 1111 Louisiana Street, Houston, Texas 77002 (telephone number: 713-207-1111).</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13" w:name="page14"/>
    <w:bookmarkEnd w:id="13"/>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We make available free of charge on CenterPoint Energy’s internet website, http://www.centerpointenergy.com,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reports with, or furnish them to, the SEC. The SEC maintains an internet website that contains reports, proxy and information statements, and other information regarding issuers that file electronically with the SEC at http://www.sec.gov. Additionally, we make available free of charge on CenterPoint Energy’s internet website:</w:t>
      </w:r>
    </w:p>
    <w:p>
      <w:pPr>
        <w:spacing w:after="0" w:line="162"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Code of Ethics for our Chief Executive Officer and Senior Financial Officers;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Ethics and Compliance Code;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 Code of Conduct;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Corporate Governance Guidelines;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charters of the Audit, Corporate Governance and Nominating, Human Capital and Compensation, and Safety and Operations committees of our Board.</w:t>
      </w:r>
    </w:p>
    <w:p>
      <w:pPr>
        <w:spacing w:after="0" w:line="200"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Any shareholder who so requests may obtain a printed copy of any of these documents from us. Changes in or waivers of our Code of Ethics for our Chief Executive Officer and Senior Financial Officers and waivers of our Ethics and Compliance Code for directors or executive officers will be posted on our internet website within five business days of such change or waiver and maintained for at least 12 months or timely reported on Item 5.05 of Form 8-K.</w:t>
      </w:r>
    </w:p>
    <w:p>
      <w:pPr>
        <w:spacing w:after="0" w:line="157"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Investors should also note that we announce material financial information in SEC filings, press releases and public conference calls. Based on guidance from the SEC, we may use the investor relations section of our internet website to communicate with our investors. It is possible that the financial and other information posted there could be deemed to be material information. Except to the extent explicitly stated herein, documents and information on our internet website are not incorporated by reference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Electric reportable segment is comprised of Houston Electric and Indiana Electric.</w:t>
      </w:r>
    </w:p>
    <w:p>
      <w:pPr>
        <w:spacing w:after="0" w:line="200"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For information regarding the properties of the Electric reportable segment, see “Properties — Electric (CenterPoint Energy and Houston Electric)” in Item 2 of this report, which information is incorporated herein by reference.</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Houston Electric (CenterPoint Energy and Houston Electric)</w:t>
      </w:r>
    </w:p>
    <w:p>
      <w:pPr>
        <w:spacing w:after="0" w:line="18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Houston Electric is a transmission and distribution electric utility that operates wholly within the state of Texas. Houston Electric does not make direct retail or wholesale sales of electric energy or own or operate any power generating facilities other than TEEEF.</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Electric Transmission</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On behalf of REPs, Houston Electric delivers electricity from power plants to substations, from one substation to another and to retail electric customers taking power at or above 69 kV in locations throughout Houston Electric’s certificated service territory. Houston Electric constructs and maintains transmission facilities and provides transmission services under tariffs approved by the PUCT.</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Electric Distribution</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Houston Electric’s distribution network receives electricity from the transmission grid through power distribution substations and delivers electricity for REPs in its certificated service area by carrying lower-voltage power from the substation to the retail electric customer through distribution feeders. Houston Electric’s operations include construction and maintenance of distribution facilities, metering services, outage response services and call center operations. Houston Electric provides distribution services under tariffs approved by the PUCT. PUCT rules and market protocols govern the commercial operations of distribution companies and other market participants. Rates for these services are established pursuant to rate proceedings conducted before municipalities that have original jurisdiction and the PUCT.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1" w:right="339" w:bottom="1440" w:gutter="0" w:footer="0" w:header="0"/>
        </w:sectPr>
      </w:pPr>
    </w:p>
    <w:bookmarkStart w:id="14" w:name="page15"/>
    <w:bookmarkEnd w:id="14"/>
    <w:p>
      <w:pPr>
        <w:ind w:left="140"/>
        <w:spacing w:after="0"/>
        <w:rPr>
          <w:sz w:val="20"/>
          <w:szCs w:val="20"/>
          <w:color w:val="auto"/>
        </w:rPr>
      </w:pPr>
      <w:r>
        <w:rPr>
          <w:rFonts w:ascii="Times New Roman" w:cs="Times New Roman" w:eastAsia="Times New Roman" w:hAnsi="Times New Roman"/>
          <w:sz w:val="14"/>
          <w:szCs w:val="14"/>
          <w:i w:val="1"/>
          <w:iCs w:val="1"/>
          <w:color w:val="auto"/>
        </w:rPr>
        <w:t>TEEEF</w:t>
      </w:r>
    </w:p>
    <w:p>
      <w:pPr>
        <w:spacing w:after="0" w:line="202" w:lineRule="exact"/>
        <w:rPr>
          <w:sz w:val="20"/>
          <w:szCs w:val="20"/>
          <w:color w:val="auto"/>
        </w:rPr>
      </w:pPr>
    </w:p>
    <w:p>
      <w:pPr>
        <w:ind w:firstLine="127"/>
        <w:spacing w:after="0" w:line="257" w:lineRule="auto"/>
        <w:rPr>
          <w:sz w:val="20"/>
          <w:szCs w:val="20"/>
          <w:color w:val="auto"/>
        </w:rPr>
      </w:pPr>
      <w:r>
        <w:rPr>
          <w:rFonts w:ascii="Times New Roman" w:cs="Times New Roman" w:eastAsia="Times New Roman" w:hAnsi="Times New Roman"/>
          <w:sz w:val="14"/>
          <w:szCs w:val="14"/>
          <w:color w:val="auto"/>
        </w:rPr>
        <w:t>As allowed by a law enacted by the Texas legislature after the February 2021 Winter Storm Event and amended in 2023, Houston Electric has entered into contractual arrangements to facilitate access to TEEEF units, both on a long-term basis and, to a limited extent, on a month-to-month basis, that can aid in restoring power to customers during certain significant power outages that are impacting its distribution system. In June 2025, Houston Electric entered into definitive documentation (the “ERCOT Transaction”), subject to PUCT approval, with relevant parties to release its 15 large 27 MW to 32 MW TEEEF units to the San Antonio area until March 2027 unless terminated earlier pursuant to the provisions of the ERCOT Transaction, during which Houston Electric will not receive revenue or profit from ERCOT and will also not charge Houston-area customers for these TEEEF units while they are in the San Antonio area serving ERCOT. In November 2025, Houston Electric proposed to release its five medium (5.7 MW) TEEEF units and to remove the associated lease costs from its rates effective January 1, 2026. On February 13, 2026, Houston Electric requested continued abatement until February 27, 2026 due to continued settlement discussions. As of December 31, 2025, Houston Electric leased 519 MW of TEEEF on a long-term basis. For more information, see Note 7 and Note 19 to the consolidated financial statements.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Bond Companies</w:t>
      </w:r>
    </w:p>
    <w:p>
      <w:pPr>
        <w:spacing w:after="0" w:line="20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Houston Electric has VIEs, including Transition Bond Company IV and Restoration Bond Company II, which are consolidated. The consolidated VIEs are wholly-owned, bankruptcy-remote, special purpose entities that were formed solely for the purpose of securitizing transition property or system restoration property through the issuance of transition bonds or system restoration bonds, and conducting activities incidental thereto. The Securitization Bonds are repaid through charges imposed on customers in Houston Electric’s service territory. On October 15, 2024, Transition Bond Company IV repaid in full its last outstanding transition bonds at maturity. For further discussion of the Securitization Bonds and the outstanding balances as of December 31, 2025 and 2024, see Note 12 to the consolidated financial statements.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Customers</w:t>
      </w:r>
    </w:p>
    <w:p>
      <w:pPr>
        <w:spacing w:after="0" w:line="181"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Houston Electric serves nearly all of the Houston/Galveston metropolitan area near the Texas Gulf Coast. Houston Electric’s customers consist of REPs, which sell electricity to metered customers in Houston Electric’s certificated service area, and municipalities, electric cooperatives and other distribution companies located outside Houston Electric’s certificated service area. Each REP is licensed by, and must meet minimum creditworthiness criteria established by, the PUCT. Houston Electric does not have long-term contracts with any of its customers, but rather operates using a continuous billing cycle, with meter readings being conducted and invoices being distributed to REPs each business day. For information regarding Houston Electric’s major customers, see Note 16 to the consolidated financial statements.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number of REPs and metered customers in Houston Electric’s service area as of December 31, 2025: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Commercial/</w:t>
            </w:r>
          </w:p>
        </w:tc>
        <w:tc>
          <w:tcPr>
            <w:tcW w:w="1700" w:type="dxa"/>
            <w:vAlign w:val="bottom"/>
          </w:tcPr>
          <w:p>
            <w:pPr>
              <w:spacing w:after="0"/>
              <w:rPr>
                <w:sz w:val="12"/>
                <w:szCs w:val="12"/>
                <w:color w:val="auto"/>
              </w:rPr>
            </w:pPr>
          </w:p>
        </w:tc>
      </w:tr>
      <w:tr>
        <w:trPr>
          <w:trHeight w:val="191"/>
        </w:trPr>
        <w:tc>
          <w:tcPr>
            <w:tcW w:w="4180" w:type="dxa"/>
            <w:vAlign w:val="bottom"/>
          </w:tcPr>
          <w:p>
            <w:pPr>
              <w:spacing w:after="0"/>
              <w:rPr>
                <w:sz w:val="16"/>
                <w:szCs w:val="16"/>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REPs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17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 Customers</w:t>
            </w:r>
          </w:p>
        </w:tc>
      </w:tr>
      <w:tr>
        <w:trPr>
          <w:trHeight w:val="16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Texas Gulf Coast</w:t>
            </w:r>
          </w:p>
        </w:tc>
        <w:tc>
          <w:tcPr>
            <w:tcW w:w="12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2,544,880</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314,433</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2,859,313</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Competition</w:t>
      </w:r>
    </w:p>
    <w:p>
      <w:pPr>
        <w:spacing w:after="0" w:line="18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There are no other electric transmission and distribution utilities in Houston Electric’s service area. For another provider of transmission and distribution services to provide such services in Houston Electric’s territory, it would be required to obtain a CCN from the PUCT and, depending on the location of the facilities, may also be required to obtain franchises from one or more municipalities. Houston Electric is not aware of any other party intending to enter this business in its service area at this time. Distributed generation (i.e., power generation located at or near the point of consumption) could result in a reduction of demand for Houston Electric’s distribution services but has not been a significant factor to date.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181"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Houston Electric’s revenues are primarily derived from rates that it collects from each REP based on the amount of electricity it delivers on behalf of that REP. Houston Electric’s revenues and results of operations are subject to seasonality, weather conditions and other changes in electricity usage, with revenues generally being higher during the warmer months when more electricity is used for cooling purposes.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5" w:name="page16"/>
    <w:bookmarkEnd w:id="15"/>
    <w:p>
      <w:pPr>
        <w:ind w:left="140"/>
        <w:spacing w:after="0"/>
        <w:rPr>
          <w:sz w:val="20"/>
          <w:szCs w:val="20"/>
          <w:color w:val="auto"/>
        </w:rPr>
      </w:pPr>
      <w:r>
        <w:rPr>
          <w:rFonts w:ascii="Times New Roman" w:cs="Times New Roman" w:eastAsia="Times New Roman" w:hAnsi="Times New Roman"/>
          <w:sz w:val="14"/>
          <w:szCs w:val="14"/>
          <w:i w:val="1"/>
          <w:iCs w:val="1"/>
          <w:color w:val="auto"/>
        </w:rPr>
        <w:t>Franchises</w:t>
      </w:r>
    </w:p>
    <w:p>
      <w:pPr>
        <w:spacing w:after="0" w:line="170"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Houston Electric holds non-exclusive franchises from certain incorporated municipalities in its service territory. In exchange for the payment of fees, these franchises give Houston Electric the right to use the streets and public rights-of-way of these municipalities to construct, operate and maintain its transmission and distribution system and to use that system to conduct its electric delivery business and for other purposes that the franchises permit. The terms of the franchises, with various expiration dates, typically range from 30 to 40 years.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(CenterPoint Energy)</w:t>
      </w:r>
    </w:p>
    <w:p>
      <w:pPr>
        <w:spacing w:after="0" w:line="202" w:lineRule="exact"/>
        <w:rPr>
          <w:sz w:val="20"/>
          <w:szCs w:val="20"/>
          <w:color w:val="auto"/>
        </w:rPr>
      </w:pPr>
    </w:p>
    <w:p>
      <w:pPr>
        <w:ind w:right="40" w:firstLine="255"/>
        <w:spacing w:after="0" w:line="286" w:lineRule="auto"/>
        <w:rPr>
          <w:sz w:val="20"/>
          <w:szCs w:val="20"/>
          <w:color w:val="auto"/>
        </w:rPr>
      </w:pPr>
      <w:r>
        <w:rPr>
          <w:rFonts w:ascii="Times New Roman" w:cs="Times New Roman" w:eastAsia="Times New Roman" w:hAnsi="Times New Roman"/>
          <w:sz w:val="14"/>
          <w:szCs w:val="14"/>
          <w:color w:val="auto"/>
        </w:rPr>
        <w:t>Indiana Electric consists of SIGECO’s electric transmission and distribution services, including its electric generation assets and wholesale power operations. The table below reflects the number of metered customers to whom Indiana Electric supplied electric service as of December 31, 2025:</w:t>
      </w:r>
    </w:p>
    <w:tbl>
      <w:tblPr>
        <w:tblLayout w:type="fixed"/>
        <w:tblInd w:w="0" w:type="dxa"/>
        <w:tblCellMar>
          <w:top w:w="0" w:type="dxa"/>
          <w:left w:w="0" w:type="dxa"/>
          <w:bottom w:w="0" w:type="dxa"/>
          <w:right w:w="0" w:type="dxa"/>
        </w:tblCellMar>
      </w:tblPr>
      <w:tr>
        <w:trPr>
          <w:trHeight w:val="180"/>
        </w:trPr>
        <w:tc>
          <w:tcPr>
            <w:tcW w:w="5920" w:type="dxa"/>
            <w:vAlign w:val="bottom"/>
          </w:tcPr>
          <w:p>
            <w:pPr>
              <w:spacing w:after="0"/>
              <w:rPr>
                <w:sz w:val="15"/>
                <w:szCs w:val="15"/>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w w:val="99"/>
              </w:rPr>
              <w:t>Residential</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Commercial/Industrial</w:t>
            </w:r>
          </w:p>
        </w:tc>
        <w:tc>
          <w:tcPr>
            <w:tcW w:w="17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 Customers</w:t>
            </w:r>
          </w:p>
        </w:tc>
      </w:tr>
      <w:tr>
        <w:trPr>
          <w:trHeight w:val="16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Southwestern Indiana</w:t>
            </w:r>
          </w:p>
        </w:tc>
        <w:tc>
          <w:tcPr>
            <w:tcW w:w="12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134,695</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19,707</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154,402</w:t>
            </w: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System Load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load and the related reserve margin at the time of the system summer peak on June 25, 2025 is presented below in MW, except for reserve margin at peak:</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94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3"/>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load at peak</w:t>
            </w:r>
          </w:p>
        </w:tc>
        <w:tc>
          <w:tcPr>
            <w:tcW w:w="1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1,073</w:t>
            </w:r>
          </w:p>
        </w:tc>
      </w:tr>
      <w:tr>
        <w:trPr>
          <w:trHeight w:val="170"/>
        </w:trPr>
        <w:tc>
          <w:tcPr>
            <w:tcW w:w="94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Generating capability</w:t>
            </w:r>
          </w:p>
        </w:tc>
        <w:tc>
          <w:tcPr>
            <w:tcW w:w="1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1,071</w:t>
            </w:r>
          </w:p>
        </w:tc>
      </w:tr>
      <w:tr>
        <w:trPr>
          <w:trHeight w:val="168"/>
        </w:trPr>
        <w:tc>
          <w:tcPr>
            <w:tcW w:w="9400" w:type="dxa"/>
            <w:vAlign w:val="bottom"/>
          </w:tcPr>
          <w:p>
            <w:pPr>
              <w:spacing w:after="0"/>
              <w:rPr>
                <w:sz w:val="20"/>
                <w:szCs w:val="20"/>
                <w:color w:val="auto"/>
              </w:rPr>
            </w:pPr>
            <w:r>
              <w:rPr>
                <w:rFonts w:ascii="Times New Roman" w:cs="Times New Roman" w:eastAsia="Times New Roman" w:hAnsi="Times New Roman"/>
                <w:sz w:val="13"/>
                <w:szCs w:val="13"/>
                <w:color w:val="auto"/>
              </w:rPr>
              <w:t>Purchase supply (effective capacity) (1)</w:t>
            </w:r>
          </w:p>
        </w:tc>
        <w:tc>
          <w:tcPr>
            <w:tcW w:w="18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263</w:t>
            </w:r>
          </w:p>
        </w:tc>
      </w:tr>
      <w:tr>
        <w:trPr>
          <w:trHeight w:val="172"/>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Interruptible contracts &amp; direct load control</w:t>
            </w:r>
          </w:p>
        </w:tc>
        <w:tc>
          <w:tcPr>
            <w:tcW w:w="18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9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power supply capacity</w:t>
            </w:r>
          </w:p>
        </w:tc>
        <w:tc>
          <w:tcPr>
            <w:tcW w:w="1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1,348</w:t>
            </w:r>
          </w:p>
        </w:tc>
      </w:tr>
      <w:tr>
        <w:trPr>
          <w:trHeight w:val="163"/>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Reserve margin at peak</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Total reflects long-term and short-term capacity contracts secured to meet MISO planning requirements.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winter peak load for the 2024-2025 season of approximately 849 MW occurred on January 21, 2025.</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Solar and Wind</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Indiana Electric has entered into various PPAs to purchase solar power and wind power to meet its future generation needs as reported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8"/>
              </w:rPr>
              <w:t>Power Type</w:t>
            </w:r>
          </w:p>
        </w:tc>
        <w:tc>
          <w:tcPr>
            <w:tcW w:w="2280" w:type="dxa"/>
            <w:vAlign w:val="bottom"/>
            <w:vMerge w:val="restart"/>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9"/>
              </w:rPr>
              <w:t>Counterparty</w:t>
            </w:r>
          </w:p>
        </w:tc>
        <w:tc>
          <w:tcPr>
            <w:tcW w:w="2380" w:type="dxa"/>
            <w:vAlign w:val="bottom"/>
            <w:vMerge w:val="restart"/>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2000" w:type="dxa"/>
            <w:vAlign w:val="bottom"/>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8"/>
              </w:rPr>
              <w:t>Date in Service/Expected</w:t>
            </w:r>
          </w:p>
        </w:tc>
        <w:tc>
          <w:tcPr>
            <w:tcW w:w="116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6"/>
              </w:rPr>
              <w:t>Capacity</w:t>
            </w:r>
          </w:p>
        </w:tc>
        <w:tc>
          <w:tcPr>
            <w:tcW w:w="400" w:type="dxa"/>
            <w:vAlign w:val="bottom"/>
          </w:tcPr>
          <w:p>
            <w:pPr>
              <w:spacing w:after="0"/>
              <w:rPr>
                <w:sz w:val="12"/>
                <w:szCs w:val="12"/>
                <w:color w:val="auto"/>
              </w:rPr>
            </w:pPr>
          </w:p>
        </w:tc>
        <w:tc>
          <w:tcPr>
            <w:tcW w:w="1660" w:type="dxa"/>
            <w:vAlign w:val="bottom"/>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0"/>
              </w:rPr>
              <w:t>Term</w:t>
            </w:r>
          </w:p>
        </w:tc>
        <w:tc>
          <w:tcPr>
            <w:tcW w:w="0" w:type="dxa"/>
            <w:vAlign w:val="bottom"/>
          </w:tcPr>
          <w:p>
            <w:pPr>
              <w:spacing w:after="0"/>
              <w:rPr>
                <w:sz w:val="1"/>
                <w:szCs w:val="1"/>
                <w:color w:val="auto"/>
              </w:rPr>
            </w:pPr>
          </w:p>
        </w:tc>
      </w:tr>
      <w:tr>
        <w:trPr>
          <w:trHeight w:val="169"/>
        </w:trPr>
        <w:tc>
          <w:tcPr>
            <w:tcW w:w="140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2000" w:type="dxa"/>
            <w:vAlign w:val="bottom"/>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7"/>
              </w:rPr>
              <w:t>Date in Service</w:t>
            </w:r>
          </w:p>
        </w:tc>
        <w:tc>
          <w:tcPr>
            <w:tcW w:w="116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4"/>
              </w:rPr>
              <w:t>(MW)</w:t>
            </w:r>
          </w:p>
        </w:tc>
        <w:tc>
          <w:tcPr>
            <w:tcW w:w="400" w:type="dxa"/>
            <w:vAlign w:val="bottom"/>
          </w:tcPr>
          <w:p>
            <w:pPr>
              <w:spacing w:after="0"/>
              <w:rPr>
                <w:sz w:val="14"/>
                <w:szCs w:val="14"/>
                <w:color w:val="auto"/>
              </w:rPr>
            </w:pPr>
          </w:p>
        </w:tc>
        <w:tc>
          <w:tcPr>
            <w:tcW w:w="1660" w:type="dxa"/>
            <w:vAlign w:val="bottom"/>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4"/>
              </w:rPr>
              <w:t>(in Years)</w:t>
            </w:r>
          </w:p>
        </w:tc>
        <w:tc>
          <w:tcPr>
            <w:tcW w:w="0" w:type="dxa"/>
            <w:vAlign w:val="bottom"/>
          </w:tcPr>
          <w:p>
            <w:pPr>
              <w:spacing w:after="0"/>
              <w:rPr>
                <w:sz w:val="1"/>
                <w:szCs w:val="1"/>
                <w:color w:val="auto"/>
              </w:rPr>
            </w:pPr>
          </w:p>
        </w:tc>
      </w:tr>
      <w:tr>
        <w:trPr>
          <w:trHeight w:val="171"/>
        </w:trPr>
        <w:tc>
          <w:tcPr>
            <w:tcW w:w="140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3"/>
                <w:szCs w:val="13"/>
                <w:color w:val="auto"/>
                <w:w w:val="89"/>
              </w:rPr>
              <w:t>Wind</w:t>
            </w:r>
          </w:p>
        </w:tc>
        <w:tc>
          <w:tcPr>
            <w:tcW w:w="2280" w:type="dxa"/>
            <w:vAlign w:val="bottom"/>
            <w:shd w:val="clear" w:color="auto" w:fill="CCEEFF"/>
          </w:tcPr>
          <w:p>
            <w:pPr>
              <w:jc w:val="center"/>
              <w:ind w:right="216"/>
              <w:spacing w:after="0"/>
              <w:rPr>
                <w:sz w:val="20"/>
                <w:szCs w:val="20"/>
                <w:color w:val="auto"/>
              </w:rPr>
            </w:pPr>
            <w:r>
              <w:rPr>
                <w:rFonts w:ascii="Times New Roman" w:cs="Times New Roman" w:eastAsia="Times New Roman" w:hAnsi="Times New Roman"/>
                <w:sz w:val="13"/>
                <w:szCs w:val="13"/>
                <w:color w:val="auto"/>
                <w:w w:val="97"/>
              </w:rPr>
              <w:t>NextEra Energy, Inc.</w:t>
            </w:r>
          </w:p>
        </w:tc>
        <w:tc>
          <w:tcPr>
            <w:tcW w:w="238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6"/>
              </w:rPr>
              <w:t>Tama County, Iowa</w:t>
            </w:r>
          </w:p>
        </w:tc>
        <w:tc>
          <w:tcPr>
            <w:tcW w:w="200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3"/>
                <w:szCs w:val="13"/>
                <w:color w:val="auto"/>
                <w:w w:val="99"/>
              </w:rPr>
              <w:t>2025</w:t>
            </w:r>
          </w:p>
        </w:tc>
        <w:tc>
          <w:tcPr>
            <w:tcW w:w="11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66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1"/>
              </w:rPr>
              <w:t>27</w:t>
            </w:r>
          </w:p>
        </w:tc>
        <w:tc>
          <w:tcPr>
            <w:tcW w:w="0" w:type="dxa"/>
            <w:vAlign w:val="bottom"/>
          </w:tcPr>
          <w:p>
            <w:pPr>
              <w:spacing w:after="0"/>
              <w:rPr>
                <w:sz w:val="1"/>
                <w:szCs w:val="1"/>
                <w:color w:val="auto"/>
              </w:rPr>
            </w:pPr>
          </w:p>
        </w:tc>
      </w:tr>
      <w:tr>
        <w:trPr>
          <w:trHeight w:val="168"/>
        </w:trPr>
        <w:tc>
          <w:tcPr>
            <w:tcW w:w="1400" w:type="dxa"/>
            <w:vAlign w:val="bottom"/>
          </w:tcPr>
          <w:p>
            <w:pPr>
              <w:jc w:val="center"/>
              <w:ind w:right="116"/>
              <w:spacing w:after="0"/>
              <w:rPr>
                <w:sz w:val="20"/>
                <w:szCs w:val="20"/>
                <w:color w:val="auto"/>
              </w:rPr>
            </w:pPr>
            <w:r>
              <w:rPr>
                <w:rFonts w:ascii="Times New Roman" w:cs="Times New Roman" w:eastAsia="Times New Roman" w:hAnsi="Times New Roman"/>
                <w:sz w:val="13"/>
                <w:szCs w:val="13"/>
                <w:color w:val="auto"/>
                <w:w w:val="94"/>
              </w:rPr>
              <w:t>Solar</w:t>
            </w:r>
          </w:p>
        </w:tc>
        <w:tc>
          <w:tcPr>
            <w:tcW w:w="2280" w:type="dxa"/>
            <w:vAlign w:val="bottom"/>
          </w:tcPr>
          <w:p>
            <w:pPr>
              <w:jc w:val="center"/>
              <w:ind w:right="216"/>
              <w:spacing w:after="0"/>
              <w:rPr>
                <w:sz w:val="20"/>
                <w:szCs w:val="20"/>
                <w:color w:val="auto"/>
              </w:rPr>
            </w:pPr>
            <w:r>
              <w:rPr>
                <w:rFonts w:ascii="Times New Roman" w:cs="Times New Roman" w:eastAsia="Times New Roman" w:hAnsi="Times New Roman"/>
                <w:sz w:val="13"/>
                <w:szCs w:val="13"/>
                <w:color w:val="auto"/>
                <w:w w:val="98"/>
              </w:rPr>
              <w:t>Origis</w:t>
            </w:r>
          </w:p>
        </w:tc>
        <w:tc>
          <w:tcPr>
            <w:tcW w:w="2380" w:type="dxa"/>
            <w:vAlign w:val="bottom"/>
          </w:tcPr>
          <w:p>
            <w:pPr>
              <w:jc w:val="center"/>
              <w:ind w:left="196"/>
              <w:spacing w:after="0"/>
              <w:rPr>
                <w:sz w:val="20"/>
                <w:szCs w:val="20"/>
                <w:color w:val="auto"/>
              </w:rPr>
            </w:pPr>
            <w:r>
              <w:rPr>
                <w:rFonts w:ascii="Times New Roman" w:cs="Times New Roman" w:eastAsia="Times New Roman" w:hAnsi="Times New Roman"/>
                <w:sz w:val="13"/>
                <w:szCs w:val="13"/>
                <w:color w:val="auto"/>
                <w:w w:val="96"/>
              </w:rPr>
              <w:t>Knox County, Indiana</w:t>
            </w:r>
          </w:p>
        </w:tc>
        <w:tc>
          <w:tcPr>
            <w:tcW w:w="20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9"/>
              </w:rPr>
              <w:t>2026</w:t>
            </w:r>
          </w:p>
        </w:tc>
        <w:tc>
          <w:tcPr>
            <w:tcW w:w="1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6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w w:val="91"/>
              </w:rPr>
              <w:t>20</w:t>
            </w:r>
          </w:p>
        </w:tc>
        <w:tc>
          <w:tcPr>
            <w:tcW w:w="0" w:type="dxa"/>
            <w:vAlign w:val="bottom"/>
          </w:tcPr>
          <w:p>
            <w:pPr>
              <w:spacing w:after="0"/>
              <w:rPr>
                <w:sz w:val="1"/>
                <w:szCs w:val="1"/>
                <w:color w:val="auto"/>
              </w:rPr>
            </w:pPr>
          </w:p>
        </w:tc>
      </w:tr>
      <w:tr>
        <w:trPr>
          <w:trHeight w:val="170"/>
        </w:trPr>
        <w:tc>
          <w:tcPr>
            <w:tcW w:w="140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3"/>
                <w:szCs w:val="13"/>
                <w:color w:val="auto"/>
                <w:w w:val="89"/>
              </w:rPr>
              <w:t>Wind</w:t>
            </w:r>
          </w:p>
        </w:tc>
        <w:tc>
          <w:tcPr>
            <w:tcW w:w="2280" w:type="dxa"/>
            <w:vAlign w:val="bottom"/>
            <w:shd w:val="clear" w:color="auto" w:fill="CCEEFF"/>
          </w:tcPr>
          <w:p>
            <w:pPr>
              <w:jc w:val="center"/>
              <w:ind w:right="216"/>
              <w:spacing w:after="0"/>
              <w:rPr>
                <w:sz w:val="20"/>
                <w:szCs w:val="20"/>
                <w:color w:val="auto"/>
              </w:rPr>
            </w:pPr>
            <w:r>
              <w:rPr>
                <w:rFonts w:ascii="Times New Roman" w:cs="Times New Roman" w:eastAsia="Times New Roman" w:hAnsi="Times New Roman"/>
                <w:sz w:val="13"/>
                <w:szCs w:val="13"/>
                <w:color w:val="auto"/>
                <w:w w:val="97"/>
              </w:rPr>
              <w:t>NextEra Energy, Inc.</w:t>
            </w:r>
          </w:p>
        </w:tc>
        <w:tc>
          <w:tcPr>
            <w:tcW w:w="238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3"/>
                <w:szCs w:val="13"/>
                <w:color w:val="auto"/>
                <w:w w:val="96"/>
              </w:rPr>
              <w:t>Knox County, Illinois</w:t>
            </w:r>
          </w:p>
        </w:tc>
        <w:tc>
          <w:tcPr>
            <w:tcW w:w="200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3"/>
                <w:szCs w:val="13"/>
                <w:color w:val="auto"/>
                <w:w w:val="99"/>
              </w:rPr>
              <w:t>2026</w:t>
            </w:r>
          </w:p>
        </w:tc>
        <w:tc>
          <w:tcPr>
            <w:tcW w:w="11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66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1"/>
              </w:rPr>
              <w:t>25</w:t>
            </w: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For further information about Indiana Electric’s solar power and wind power activities, see “Item 2. Properties” and “Management’s Discussion and Analysis of Financial Condition and Results of Operations — Liquidity and Capital Resources — Regulatory Matters” in Item 7 of Part II of this report, which discussion is incorporated herein by reference.</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Coal Purchases</w:t>
      </w:r>
    </w:p>
    <w:p>
      <w:pPr>
        <w:spacing w:after="0" w:line="202"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Coal for coal-fired generating stations has been supplied from operators of nearby coal mines as there are substantial coal reserves in the southern Indiana area. Major suppliers are those that account for greater than 10% of Indiana Electric’s coal purchases. For the year ended December 31, 2025, Sunrise LLC accounted for 100% of Indiana Electric’s coal purchases.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4"/>
          <w:szCs w:val="14"/>
          <w:color w:val="auto"/>
        </w:rPr>
        <w:t>The table below presents information related to coal purchases during the year ended December 31, 2025 and coal inventory as of December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Borders>
              <w:bottom w:val="single" w:sz="8" w:color="CCEEFF"/>
            </w:tcBorders>
          </w:tcPr>
          <w:p>
            <w:pPr>
              <w:spacing w:after="0"/>
              <w:rPr>
                <w:sz w:val="14"/>
                <w:szCs w:val="14"/>
                <w:color w:val="auto"/>
              </w:rPr>
            </w:pPr>
          </w:p>
        </w:tc>
        <w:tc>
          <w:tcPr>
            <w:tcW w:w="372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(In tons, except average cost per ton)</w:t>
            </w:r>
          </w:p>
        </w:tc>
      </w:tr>
      <w:tr>
        <w:trPr>
          <w:trHeight w:val="16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Coal purchased for generating electricity</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643,030</w:t>
            </w:r>
          </w:p>
        </w:tc>
      </w:tr>
      <w:tr>
        <w:trPr>
          <w:trHeight w:val="168"/>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Coal inventory as of December 31, 2025</w:t>
            </w:r>
          </w:p>
        </w:tc>
        <w:tc>
          <w:tcPr>
            <w:tcW w:w="3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422,503</w:t>
            </w:r>
          </w:p>
        </w:tc>
      </w:tr>
      <w:tr>
        <w:trPr>
          <w:trHeight w:val="17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cost of coal per ton</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$68.04</w:t>
            </w: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Firm Purchase Supply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Indiana Electric enters into long-term purchase supply agreements to meet its generation needs as disclosed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Fuel Type</w:t>
            </w:r>
          </w:p>
        </w:tc>
        <w:tc>
          <w:tcPr>
            <w:tcW w:w="3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Provider</w:t>
            </w:r>
          </w:p>
        </w:tc>
        <w:tc>
          <w:tcPr>
            <w:tcW w:w="2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Contract</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Capacity</w:t>
            </w: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Purchased in 2025</w:t>
            </w:r>
          </w:p>
        </w:tc>
        <w:tc>
          <w:tcPr>
            <w:tcW w:w="0" w:type="dxa"/>
            <w:vAlign w:val="bottom"/>
          </w:tcPr>
          <w:p>
            <w:pPr>
              <w:spacing w:after="0"/>
              <w:rPr>
                <w:sz w:val="1"/>
                <w:szCs w:val="1"/>
                <w:color w:val="auto"/>
              </w:rPr>
            </w:pPr>
          </w:p>
        </w:tc>
      </w:tr>
      <w:tr>
        <w:trPr>
          <w:trHeight w:val="169"/>
        </w:trPr>
        <w:tc>
          <w:tcPr>
            <w:tcW w:w="1180" w:type="dxa"/>
            <w:vAlign w:val="bottom"/>
            <w:gridSpan w:val="2"/>
            <w:vMerge w:val="continue"/>
          </w:tcPr>
          <w:p>
            <w:pPr>
              <w:spacing w:after="0"/>
              <w:rPr>
                <w:sz w:val="14"/>
                <w:szCs w:val="14"/>
                <w:color w:val="auto"/>
              </w:rPr>
            </w:pPr>
          </w:p>
        </w:tc>
        <w:tc>
          <w:tcPr>
            <w:tcW w:w="3360" w:type="dxa"/>
            <w:vAlign w:val="bottom"/>
            <w:gridSpan w:val="2"/>
            <w:vMerge w:val="continue"/>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(MW)</w:t>
            </w:r>
          </w:p>
        </w:tc>
        <w:tc>
          <w:tcPr>
            <w:tcW w:w="142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(in GWh)</w:t>
            </w:r>
          </w:p>
        </w:tc>
        <w:tc>
          <w:tcPr>
            <w:tcW w:w="0" w:type="dxa"/>
            <w:vAlign w:val="bottom"/>
          </w:tcPr>
          <w:p>
            <w:pPr>
              <w:spacing w:after="0"/>
              <w:rPr>
                <w:sz w:val="1"/>
                <w:szCs w:val="1"/>
                <w:color w:val="auto"/>
              </w:rPr>
            </w:pPr>
          </w:p>
        </w:tc>
      </w:tr>
      <w:tr>
        <w:trPr>
          <w:trHeight w:val="162"/>
        </w:trPr>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Coal</w:t>
            </w:r>
          </w:p>
        </w:tc>
        <w:tc>
          <w:tcPr>
            <w:tcW w:w="100" w:type="dxa"/>
            <w:vAlign w:val="bottom"/>
            <w:tcBorders>
              <w:top w:val="single" w:sz="8" w:color="CCEEFF"/>
            </w:tcBorders>
            <w:shd w:val="clear" w:color="auto" w:fill="CCEEFF"/>
          </w:tcPr>
          <w:p>
            <w:pPr>
              <w:spacing w:after="0"/>
              <w:rPr>
                <w:sz w:val="14"/>
                <w:szCs w:val="14"/>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OVEC (1)</w:t>
            </w:r>
          </w:p>
        </w:tc>
        <w:tc>
          <w:tcPr>
            <w:tcW w:w="100" w:type="dxa"/>
            <w:vAlign w:val="bottom"/>
            <w:tcBorders>
              <w:top w:val="single" w:sz="8" w:color="CCEEFF"/>
            </w:tcBorders>
            <w:shd w:val="clear" w:color="auto" w:fill="CCEEFF"/>
          </w:tcPr>
          <w:p>
            <w:pPr>
              <w:spacing w:after="0"/>
              <w:rPr>
                <w:sz w:val="14"/>
                <w:szCs w:val="14"/>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Indiana and Ohio</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2040</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68"/>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Wind</w:t>
            </w: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Benton County Wind Farm, LLC</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Benton County, Indiana</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72"/>
        </w:trPr>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Wind</w:t>
            </w:r>
          </w:p>
        </w:tc>
        <w:tc>
          <w:tcPr>
            <w:tcW w:w="3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Fowler Ridge II Wind Farm, LLC</w:t>
            </w:r>
          </w:p>
        </w:tc>
        <w:tc>
          <w:tcPr>
            <w:tcW w:w="2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Benton/Tippecanoe Counties, Indiana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Wind</w:t>
            </w:r>
          </w:p>
        </w:tc>
        <w:tc>
          <w:tcPr>
            <w:tcW w:w="33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Salt Creek Wind, LLC</w:t>
            </w:r>
          </w:p>
        </w:tc>
        <w:tc>
          <w:tcPr>
            <w:tcW w:w="29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Tama County, Iowa</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2052</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right="40" w:hanging="260"/>
        <w:spacing w:after="0" w:line="287" w:lineRule="auto"/>
        <w:tabs>
          <w:tab w:leader="none" w:pos="51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its power portfolio, Indiana Electric is a 1.5% shareholder in the OVEC. Based on its participation in the ICPA between OVEC and its shareholder companies, Indiana Electric has the right to 1.5% of OVEC’s generating capacity output and shares in 1.5% of the operating expenses and debt obligations of OVEC.</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MISO-Related Activity</w:t>
      </w:r>
    </w:p>
    <w:p>
      <w:pPr>
        <w:spacing w:after="0" w:line="20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Indiana Electric is a member of the MISO, a FERC-approved regional transmission organization. The MISO serves the electric transmission needs of much of the Midcontinent region and maintains operational control over Indiana Electric’s electric transmission facilities and generation facilities as well as other utilities in the region. Indiana Electric is an active participant in the MISO energy markets, bidding its owned generation into the Day Ahead and Real Time markets and procuring power for its retail customers at Locational Marginal Pricing as determined by the MISO market. MISO-related purchase and sale transactions are recorded using settlement information provided by the MISO. These purchase and sale transactions are accounted for on at least a net hourly position.</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MISO-related activity for the year ended December 31, 2025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In GWh</w:t>
            </w:r>
          </w:p>
        </w:tc>
      </w:tr>
      <w:tr>
        <w:trPr>
          <w:trHeight w:val="163"/>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purchases (1)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3,007</w:t>
            </w:r>
          </w:p>
        </w:tc>
      </w:tr>
      <w:tr>
        <w:trPr>
          <w:trHeight w:val="165"/>
        </w:trPr>
        <w:tc>
          <w:tcPr>
            <w:tcW w:w="9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 (2)</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55"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intervals when purchases from the MISO were in excess of generation sold to the MISO.</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intervals when sales to the MISO were in excess of purchases from the MISO.</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Interconnections</w:t>
      </w:r>
    </w:p>
    <w:p>
      <w:pPr>
        <w:spacing w:after="0" w:line="20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2025, Indiana Electric had interconnections with Louisville Gas and Electric Company, Duke Energy Shared Services, Inc., Indianapolis Power &amp; Light Company, Hoosier Energy Rural Electric Cooperative, Inc. and Big Rivers Electric Corporation providing the ability to simultaneously interchange approximately 660 MW during peak load periods. Indiana Electric, as required as a member of the MISO, has turned over operational control of the interchange facilities and its own transmission assets to the MISO. Indiana Electric, in conjunction with the MISO, must operate the bulk electric transmission system in accordance with NERC Reliability Standards. As a result, interchange capability varies based on regional transmission system configuration, generation dispatch, seasonal facility ratings and other factors. Indiana Electric is in compliance with reliability standards promulgated by NERC.</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7" w:name="page18"/>
    <w:bookmarkEnd w:id="17"/>
    <w:p>
      <w:pPr>
        <w:ind w:left="140"/>
        <w:spacing w:after="0"/>
        <w:rPr>
          <w:sz w:val="20"/>
          <w:szCs w:val="20"/>
          <w:color w:val="auto"/>
        </w:rPr>
      </w:pPr>
      <w:r>
        <w:rPr>
          <w:rFonts w:ascii="Times New Roman" w:cs="Times New Roman" w:eastAsia="Times New Roman" w:hAnsi="Times New Roman"/>
          <w:sz w:val="14"/>
          <w:szCs w:val="14"/>
          <w:i w:val="1"/>
          <w:iCs w:val="1"/>
          <w:color w:val="auto"/>
        </w:rPr>
        <w:t>SIGECO Securitization Subsidiary</w:t>
      </w:r>
    </w:p>
    <w:p>
      <w:pPr>
        <w:spacing w:after="0" w:line="202"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SIGECO has a VIE, SIGECO Securitization Subsidiary, which is consolidated. This consolidated VIE is a wholly-owned, bankruptcy-remote, special purpose entity that was formed solely for the purpose of facilitating the securitization financing of qualified costs. The obligations of the SIGECO Securitization Bonds are repaid through charges imposed on customers in Indiana Electric’s service territory. For further discussion of the SIGECO Securitization Bonds and the outstanding balance as of December 31, 2025, see Note 12 to the consolidated financial statements.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Competition</w:t>
      </w:r>
    </w:p>
    <w:p>
      <w:pPr>
        <w:spacing w:after="0" w:line="191"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There are no other electric transmission and distribution utilities in Indiana Electric’s service area. Indiana Electric is a vertically integrated utility that owns the generation, transmission, and distribution components of a utility.</w:t>
      </w:r>
    </w:p>
    <w:p>
      <w:pPr>
        <w:spacing w:after="0" w:line="145"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For another provider of transmission and distribution services to provide such services in Indiana Electric’s territory, it would be required to obtain IURC approval of such service territory. Indiana service territory certificates are exclusive. Distributed generation (i.e., power generation located at or near the point of consumption) could result in reduced demand for Indiana Electric’s distribution services but has not been a significant factor to date.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202"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Indiana Electric’s revenues are primarily derived from rates that it collects from customers in its service territory based on the amount of electricity it delivers. Indiana Electric’s revenues and results of operations are subject to seasonality, weather conditions and other changes in electricity usage, with revenues generally being higher during the warmer months when more electricity is used for cooling purposes, and during the cooler months when more electricity is used for heating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Natural Gas (CenterPoint Energy and CERC)</w:t>
      </w:r>
    </w:p>
    <w:p>
      <w:pPr>
        <w:spacing w:after="0" w:line="202" w:lineRule="exact"/>
        <w:rPr>
          <w:sz w:val="20"/>
          <w:szCs w:val="20"/>
          <w:color w:val="auto"/>
        </w:rPr>
      </w:pPr>
    </w:p>
    <w:p>
      <w:pPr>
        <w:jc w:val="both"/>
        <w:ind w:right="60" w:firstLine="255"/>
        <w:spacing w:after="0" w:line="261" w:lineRule="auto"/>
        <w:rPr>
          <w:sz w:val="20"/>
          <w:szCs w:val="20"/>
          <w:color w:val="auto"/>
        </w:rPr>
      </w:pPr>
      <w:r>
        <w:rPr>
          <w:rFonts w:ascii="Times New Roman" w:cs="Times New Roman" w:eastAsia="Times New Roman" w:hAnsi="Times New Roman"/>
          <w:sz w:val="14"/>
          <w:szCs w:val="14"/>
          <w:color w:val="auto"/>
        </w:rPr>
        <w:t>CenterPoint Energy’s and CERC’s natural gas distribution businesses engage in regulated intrastate natural gas sales to, and natural gas transportation and storage for, residential, commercial, industrial and transportation customers. CenterPoint Energy’s and CERC’s natural gas distribution businesses provide permanent pipeline connections through interconnects with various interstate and intrastate pipeline companies through CEIP. CenterPoint Energy’s and CERC’s natural gas distribution businesses also provided services in Minnesota consisting of residential appliance repair and maintenance services along with HVAC equipment sales. Additionally, CenterPoint Energy and CERC’s natural gas distribution businesses provided home repair protection plans to natural gas customers in Indiana, Ohio and Texas through a third party as of December 31, 2025.</w:t>
      </w:r>
    </w:p>
    <w:p>
      <w:pPr>
        <w:spacing w:after="0" w:line="164" w:lineRule="exact"/>
        <w:rPr>
          <w:sz w:val="20"/>
          <w:szCs w:val="20"/>
          <w:color w:val="auto"/>
        </w:rPr>
      </w:pPr>
    </w:p>
    <w:p>
      <w:pPr>
        <w:jc w:val="both"/>
        <w:ind w:right="60" w:firstLine="255"/>
        <w:spacing w:after="0" w:line="287" w:lineRule="auto"/>
        <w:rPr>
          <w:sz w:val="20"/>
          <w:szCs w:val="20"/>
          <w:color w:val="auto"/>
        </w:rPr>
      </w:pPr>
      <w:r>
        <w:rPr>
          <w:rFonts w:ascii="Times New Roman" w:cs="Times New Roman" w:eastAsia="Times New Roman" w:hAnsi="Times New Roman"/>
          <w:sz w:val="14"/>
          <w:szCs w:val="14"/>
          <w:color w:val="auto"/>
        </w:rPr>
        <w:t>For information regarding the properties of the Natural Gas reportable segment, read “Properties — Natural Gas (CenterPoint Energy and CERC)” in Item 2 of this report, which information is incorporated herein by reference.</w:t>
      </w:r>
    </w:p>
    <w:p>
      <w:pPr>
        <w:spacing w:after="0" w:line="135" w:lineRule="exact"/>
        <w:rPr>
          <w:sz w:val="20"/>
          <w:szCs w:val="20"/>
          <w:color w:val="auto"/>
        </w:rPr>
      </w:pPr>
    </w:p>
    <w:p>
      <w:pPr>
        <w:ind w:firstLine="255"/>
        <w:spacing w:after="0" w:line="242" w:lineRule="auto"/>
        <w:rPr>
          <w:sz w:val="20"/>
          <w:szCs w:val="20"/>
          <w:color w:val="auto"/>
        </w:rPr>
      </w:pPr>
      <w:r>
        <w:rPr>
          <w:rFonts w:ascii="Times New Roman" w:cs="Times New Roman" w:eastAsia="Times New Roman" w:hAnsi="Times New Roman"/>
          <w:sz w:val="14"/>
          <w:szCs w:val="14"/>
          <w:color w:val="auto"/>
        </w:rPr>
        <w:t>On March 31, 2025, CenterPoint Energy, through its subsidiary CERC Corp., completed the sale of its Louisiana and Mississippi natural gas LDC businesses. On October 20, 2025, CenterPoint Energy, through its subsidiary CERC Corp., entered into the Ohio Securities Purchase Agreement to sell all of the issued and outstanding equity interests in CEOH for total consideration of approximately $2.62 billion, which is comprised of the following: (i) $1.42 billion in cash payable to CERC Corp. upon closing of the transaction, subject to adjustments as set forth in the Ohio Securities Purchase Agreement, including adjustments based on net working capital, regulatory assets and liabilities and capital expenditures at closing of the transaction; and (ii) a 364-day seller promissory note, in the original principal amount of $1.2 billion, to be issued by NFGC at the closing of the transaction and payable to CERC Corp. as provided by the terms and conditions of the Seller Note Agreement. The transaction is expected to close in the fourth quarter of 2026, subject to the satisfaction of customary closing conditions. For further information, see Note 4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28" w:right="419" w:bottom="1440" w:gutter="0" w:footer="0" w:header="0"/>
        </w:sectPr>
      </w:pPr>
    </w:p>
    <w:bookmarkStart w:id="18" w:name="page19"/>
    <w:bookmarkEnd w:id="18"/>
    <w:p>
      <w:pPr>
        <w:ind w:left="140"/>
        <w:spacing w:after="0"/>
        <w:rPr>
          <w:sz w:val="20"/>
          <w:szCs w:val="20"/>
          <w:color w:val="auto"/>
        </w:rPr>
      </w:pPr>
      <w:r>
        <w:rPr>
          <w:rFonts w:ascii="Times New Roman" w:cs="Times New Roman" w:eastAsia="Times New Roman" w:hAnsi="Times New Roman"/>
          <w:sz w:val="14"/>
          <w:szCs w:val="14"/>
          <w:i w:val="1"/>
          <w:iCs w:val="1"/>
          <w:color w:val="auto"/>
        </w:rPr>
        <w:t>Customers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number of CenterPoint Energy’s and CERC’s natural gas distribution business customers by state as of December 31, 2025:</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Commercial/</w:t>
            </w:r>
          </w:p>
        </w:tc>
        <w:tc>
          <w:tcPr>
            <w:tcW w:w="1860" w:type="dxa"/>
            <w:vAlign w:val="bottom"/>
          </w:tcPr>
          <w:p>
            <w:pPr>
              <w:spacing w:after="0"/>
              <w:rPr>
                <w:sz w:val="12"/>
                <w:szCs w:val="12"/>
                <w:color w:val="auto"/>
              </w:rPr>
            </w:pPr>
          </w:p>
        </w:tc>
      </w:tr>
      <w:tr>
        <w:trPr>
          <w:trHeight w:val="191"/>
        </w:trPr>
        <w:tc>
          <w:tcPr>
            <w:tcW w:w="5500" w:type="dxa"/>
            <w:vAlign w:val="bottom"/>
          </w:tcPr>
          <w:p>
            <w:pPr>
              <w:spacing w:after="0"/>
              <w:rPr>
                <w:sz w:val="16"/>
                <w:szCs w:val="16"/>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w w:val="99"/>
              </w:rPr>
              <w:t>Residential</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Industrial/Transportation</w:t>
            </w:r>
          </w:p>
        </w:tc>
        <w:tc>
          <w:tcPr>
            <w:tcW w:w="186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 Customers</w:t>
            </w:r>
          </w:p>
        </w:tc>
      </w:tr>
      <w:tr>
        <w:trPr>
          <w:trHeight w:val="163"/>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Indiana (Indiana Gas)</w:t>
            </w:r>
          </w:p>
        </w:tc>
        <w:tc>
          <w:tcPr>
            <w:tcW w:w="1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613,299</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55,996</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669,295</w:t>
            </w:r>
          </w:p>
        </w:tc>
      </w:tr>
      <w:tr>
        <w:trPr>
          <w:trHeight w:val="168"/>
        </w:trPr>
        <w:tc>
          <w:tcPr>
            <w:tcW w:w="6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Minnesota</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865,667</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73,063</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938,730</w:t>
            </w:r>
          </w:p>
        </w:tc>
      </w:tr>
      <w:tr>
        <w:trPr>
          <w:trHeight w:val="172"/>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Ohio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312,131</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24,711</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336,842</w:t>
            </w:r>
          </w:p>
        </w:tc>
      </w:tr>
      <w:tr>
        <w:trPr>
          <w:trHeight w:val="168"/>
        </w:trPr>
        <w:tc>
          <w:tcPr>
            <w:tcW w:w="6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Texas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1,843,325</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124,730</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1,968,055</w:t>
            </w:r>
          </w:p>
        </w:tc>
      </w:tr>
      <w:tr>
        <w:trPr>
          <w:trHeight w:val="163"/>
        </w:trPr>
        <w:tc>
          <w:tcPr>
            <w:tcW w:w="55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CERC Natural Gas</w:t>
            </w:r>
          </w:p>
        </w:tc>
        <w:tc>
          <w:tcPr>
            <w:tcW w:w="1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3,634,422</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278,500</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3,912,922</w:t>
            </w:r>
          </w:p>
        </w:tc>
      </w:tr>
      <w:tr>
        <w:trPr>
          <w:trHeight w:val="168"/>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Indiana (SIGECO)</w:t>
            </w: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105,497</w:t>
            </w:r>
          </w:p>
        </w:tc>
        <w:tc>
          <w:tcPr>
            <w:tcW w:w="1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10,666</w:t>
            </w:r>
          </w:p>
        </w:tc>
        <w:tc>
          <w:tcPr>
            <w:tcW w:w="1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116,163</w:t>
            </w:r>
          </w:p>
        </w:tc>
      </w:tr>
      <w:tr>
        <w:trPr>
          <w:trHeight w:val="183"/>
        </w:trPr>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CenterPoint Energy Natural Gas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3,739,919</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289,166</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4,029,085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largest metropolitan areas served in each state were Houston, Texas; Minneapolis, Minnesota; Evansville, Indiana; and Dayton, Ohio.</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percentage of total throughput by customer type for the year ended December 31, 2025: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5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r>
      <w:tr>
        <w:trPr>
          <w:trHeight w:val="168"/>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Commercial/Industrial and Transportation</w:t>
            </w:r>
          </w:p>
        </w:tc>
        <w:tc>
          <w:tcPr>
            <w:tcW w:w="1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0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64 %</w:t>
            </w:r>
          </w:p>
        </w:tc>
      </w:tr>
      <w:tr>
        <w:trPr>
          <w:trHeight w:val="183"/>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Throughput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202" w:lineRule="exact"/>
        <w:rPr>
          <w:sz w:val="20"/>
          <w:szCs w:val="20"/>
          <w:color w:val="auto"/>
        </w:rPr>
      </w:pPr>
    </w:p>
    <w:p>
      <w:pPr>
        <w:jc w:val="both"/>
        <w:ind w:right="420" w:firstLine="255"/>
        <w:spacing w:after="0" w:line="270" w:lineRule="auto"/>
        <w:rPr>
          <w:sz w:val="20"/>
          <w:szCs w:val="20"/>
          <w:color w:val="auto"/>
        </w:rPr>
      </w:pPr>
      <w:r>
        <w:rPr>
          <w:rFonts w:ascii="Times New Roman" w:cs="Times New Roman" w:eastAsia="Times New Roman" w:hAnsi="Times New Roman"/>
          <w:sz w:val="14"/>
          <w:szCs w:val="14"/>
          <w:color w:val="auto"/>
        </w:rPr>
        <w:t>The demand for natural gas sales to residential customers and natural gas sales and transportation for commercial and industrial customers is seasonal and affected by variations in weather conditions. In 2025, approximately 68% and 69% of the total throughput for CenterPoint Energy’s and CERC’s natural gas distribution businesses, respectively, occurred in the first and fourth quarters. These patterns reflect the higher demand for natural gas for heating purposes during the colder months.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Supply and Transportation</w:t>
      </w:r>
    </w:p>
    <w:p>
      <w:pPr>
        <w:spacing w:after="0" w:line="202"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In 2025, CenterPoint Energy’s natural gas distribution businesses purchased virtually all of their natural gas supply pursuant to contracts with remaining terms varying from a few months to three years. Major suppliers are those that account for greater than 10% of CenterPoint Energy’s or CERC’s annual natural gas supply purchases.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Major suppliers of natural gas for the year ended December 31, 2025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Tenaska Marketing Ventures, LLC</w:t>
            </w:r>
          </w:p>
        </w:tc>
        <w:tc>
          <w:tcPr>
            <w:tcW w:w="16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68"/>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Macquarie Energy, LLC</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7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BP Energy Company</w:t>
            </w:r>
          </w:p>
        </w:tc>
        <w:tc>
          <w:tcPr>
            <w:tcW w:w="16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63"/>
        </w:trPr>
        <w:tc>
          <w:tcPr>
            <w:tcW w:w="89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Total of major suppliers</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51 %</w:t>
            </w:r>
          </w:p>
        </w:tc>
      </w:tr>
      <w:tr>
        <w:trPr>
          <w:trHeight w:val="20"/>
        </w:trPr>
        <w:tc>
          <w:tcPr>
            <w:tcW w:w="7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Numerous other suppliers provided the remainder of CenterPoint Energy’s and CERC’s natural gas supply requirements.</w:t>
      </w:r>
    </w:p>
    <w:p>
      <w:pPr>
        <w:spacing w:after="0" w:line="200"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and CERC’s natural gas distribution businesses transport their natural gas supplies through various intrastate and interstate pipelines under contracts with remaining terms, including extensions, varying from one to fifteen years. CenterPoint Energy’s and CERC’s natural gas distribution businesses anticipate that these gas supply and transportation contracts will be renewed or replaced prior to their expiration.</w:t>
      </w:r>
    </w:p>
    <w:p>
      <w:pPr>
        <w:spacing w:after="0" w:line="157"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and CERC’s natural gas distribution businesses actively engage in commodity price stabilization pursuant to annual gas supply plans presented to and/or filed with each of their state regulatory authorities. These price stabilization activities include use of storage gas and contractually establishing structured prices (e.g., fixed price, costless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9" w:name="page20"/>
    <w:bookmarkEnd w:id="19"/>
    <w:p>
      <w:pPr>
        <w:ind w:right="200"/>
        <w:spacing w:after="0" w:line="287" w:lineRule="auto"/>
        <w:rPr>
          <w:sz w:val="20"/>
          <w:szCs w:val="20"/>
          <w:color w:val="auto"/>
        </w:rPr>
      </w:pPr>
      <w:r>
        <w:rPr>
          <w:rFonts w:ascii="Times New Roman" w:cs="Times New Roman" w:eastAsia="Times New Roman" w:hAnsi="Times New Roman"/>
          <w:sz w:val="14"/>
          <w:szCs w:val="14"/>
          <w:color w:val="auto"/>
        </w:rPr>
        <w:t>collars and caps) with CenterPoint Energy’s and CERC’s natural gas distribution business’ physical gas suppliers. Their gas supply plans generally call for 50–70% of normal winter supplies to be stabilized in some fashion.</w:t>
      </w:r>
    </w:p>
    <w:p>
      <w:pPr>
        <w:spacing w:after="0" w:line="145" w:lineRule="exact"/>
        <w:rPr>
          <w:sz w:val="20"/>
          <w:szCs w:val="20"/>
          <w:color w:val="auto"/>
        </w:rPr>
      </w:pPr>
    </w:p>
    <w:p>
      <w:pPr>
        <w:ind w:right="300" w:firstLine="255"/>
        <w:spacing w:after="0" w:line="264" w:lineRule="auto"/>
        <w:rPr>
          <w:sz w:val="20"/>
          <w:szCs w:val="20"/>
          <w:color w:val="auto"/>
        </w:rPr>
      </w:pPr>
      <w:r>
        <w:rPr>
          <w:rFonts w:ascii="Times New Roman" w:cs="Times New Roman" w:eastAsia="Times New Roman" w:hAnsi="Times New Roman"/>
          <w:sz w:val="14"/>
          <w:szCs w:val="14"/>
          <w:color w:val="auto"/>
        </w:rPr>
        <w:t>The regulations of the states in which CenterPoint Energy’s and CERC’s natural gas distribution businesses operate allow them to pass through changes in the cost of natural gas, including savings and costs of financial derivatives associated with the index-priced physical supply, to their customers under purchased gas adjustment provisions in their tariffs. Depending upon the jurisdiction, the purchased gas adjustment factors are updated periodically, ranging from monthly to semi-annually. The changes in the cost of gas billed to customers are subject to review by the applicable regulatory bodies.</w:t>
      </w:r>
    </w:p>
    <w:p>
      <w:pPr>
        <w:spacing w:after="0" w:line="16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and CERC’s natural gas distribution businesses use various third-party storage services or owned natural gas storage facilities to meet peak-day requirements and to manage the daily changes in demand due to changes in weather. CenterPoint Energy’s and CERC’s natural gas distribution businesses may also supplement contracted supplies and storage from time to time with stored LNG and propane-air plant production.</w:t>
      </w:r>
    </w:p>
    <w:p>
      <w:pPr>
        <w:spacing w:after="0" w:line="157" w:lineRule="exact"/>
        <w:rPr>
          <w:sz w:val="20"/>
          <w:szCs w:val="20"/>
          <w:color w:val="auto"/>
        </w:rPr>
      </w:pPr>
    </w:p>
    <w:p>
      <w:pPr>
        <w:ind w:right="320" w:firstLine="255"/>
        <w:spacing w:after="0" w:line="270" w:lineRule="auto"/>
        <w:rPr>
          <w:sz w:val="20"/>
          <w:szCs w:val="20"/>
          <w:color w:val="auto"/>
        </w:rPr>
      </w:pPr>
      <w:r>
        <w:rPr>
          <w:rFonts w:ascii="Times New Roman" w:cs="Times New Roman" w:eastAsia="Times New Roman" w:hAnsi="Times New Roman"/>
          <w:sz w:val="14"/>
          <w:szCs w:val="14"/>
          <w:color w:val="auto"/>
        </w:rPr>
        <w:t>On an ongoing basis, CenterPoint Energy’s and CERC’s natural gas distribution businesses enter into contracts to provide sufficient supplies and pipeline capacity to meet their customer requirements. However, it is possible for limited service disruptions to occur from time to time due to weather conditions, transportation constraints and other events. As a result of these factors, supplies of natural gas may become unavailable from time to time, or prices may increase rapidly in response to temporary supply constraints or other factors.</w:t>
      </w:r>
    </w:p>
    <w:p>
      <w:pPr>
        <w:spacing w:after="0" w:line="157"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CenterPoint Energy’s and CERC’s natural gas distribution businesses continue to utilize AMAs associated with their utility distribution service in Indiana, Minnesota and Texas. Generally, AMAs are contracts between CenterPoint Energy’s and CERC’s natural gas distribution businesses and an asset manager that are intended to transfer the working capital obligation and maximize the utilization of the assets. In these agreements, CenterPoint Energy’s and CERC’s natural gas distribution businesses agree to release transportation and storage capacity to other parties to manage natural gas storage, supply and delivery arrangements for CenterPoint Energy’s and CERC’s natural gas distribution businesses and to use the released capacity for other purposes when it is not needed for CenterPoint Energy’s and CERC’s natural gas distribution businesses. CenterPoint Energy’s and CERC’s natural gas distribution businesses may receive compensation from the asset manager through payments made over the life of the AMAs. CenterPoint Energy’s and CERC’s natural gas distribution businesses have an obligation to purchase their winter storage requirements that have been released to the asset manager under these AMAs. The AMAs have varying terms, the longest of which expires in 2029. Pursuant to the provisions of the agreements, CenterPoint Energy’s and CERC’s natural gas distribution businesses either sell natural gas to the asset manager and agree to repurchase an equivalent amount of natural gas throughout the year at the same cost, or simply purchases its full natural gas requirements at each delivery point from the asset manager. Each of CenterPoint Energy and CERC had no amounts outstanding under these AMAs as of December 31, 2025 and 2024.</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Competition</w:t>
      </w:r>
    </w:p>
    <w:p>
      <w:pPr>
        <w:spacing w:after="0" w:line="181"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CenterPoint Energy’s and CERC’s natural gas distribution businesses compete primarily with alternate energy sources such as electricity and other fuel sources. In some areas, intrastate pipelines, other gas distributors and marketers also compete directly for gas sales to end users. In addition, as a result of federal regulations affecting interstate pipelines, natural gas marketers operating on these pipelines may be able to bypass CenterPoint Energy’s and CERC’s natural gas distribution business’ facilities and market, sell and/or transport natural gas directly to commercial and industrial customers.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Franchises</w:t>
      </w:r>
    </w:p>
    <w:p>
      <w:pPr>
        <w:spacing w:after="0" w:line="191" w:lineRule="exact"/>
        <w:rPr>
          <w:sz w:val="20"/>
          <w:szCs w:val="20"/>
          <w:color w:val="auto"/>
        </w:rPr>
      </w:pPr>
    </w:p>
    <w:p>
      <w:pPr>
        <w:jc w:val="both"/>
        <w:ind w:right="180" w:firstLine="255"/>
        <w:spacing w:after="0" w:line="270" w:lineRule="auto"/>
        <w:rPr>
          <w:sz w:val="20"/>
          <w:szCs w:val="20"/>
          <w:color w:val="auto"/>
        </w:rPr>
      </w:pPr>
      <w:r>
        <w:rPr>
          <w:rFonts w:ascii="Times New Roman" w:cs="Times New Roman" w:eastAsia="Times New Roman" w:hAnsi="Times New Roman"/>
          <w:sz w:val="14"/>
          <w:szCs w:val="14"/>
          <w:color w:val="auto"/>
        </w:rPr>
        <w:t>In almost all communities in which CenterPoint Energy’s and CERC’s natural gas distribution businesses provide natural gas distribution services, they operate under franchises, certificates or licenses obtained from state and local authorities. The original terms of the franchises, with various expiration dates, typically range from 10 to 30 years. CenterPoint Energy’s and CERC’s natural gas distribution businesses expect to be able to renew expiring franchises. In most cases, franchises to provide natural gas utility services are not exclusive.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 (CenterPoint Energy)</w:t>
      </w:r>
    </w:p>
    <w:p>
      <w:pPr>
        <w:spacing w:after="0" w:line="202"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CenterPoint Energy’s Corporate and Other reportable segment consists of corporate support operations that support CenterPoint Energy’s business operations and also includes office buildings and other real estate used for business operations. CenterPoint Energy’s Corporate and Other reportable segment also consisted of energy performance contracting and sustainable infrastructure services by Energy Systems Group through June 30, 2023, the date of the sale of Energy Systems Group. For additional information on the sale of Energy Systems Group, see Note 4 to the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20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Registrants are subject to regulation by various federal, state and local governmental agencies, including the regulations described below. The following discussion is based on regulation in the Registrants’ businesses as of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Energy Regulatory Commission</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FERC has jurisdiction under the NGA and the NGPA, as amended, to regulate the transportation of natural gas in interstate commerce and natural gas sales for resale in interstate commerce that are not first sales. FERC regulates, among other things, the construction of pipeline and related facilities used in the transportation and storage of natural gas in interstate commerce, including the extension, expansion or abandonment of these facilities. FERC also regulates the transmission and wholesale sales of electricity in interstate commerce, mergers, acquisitions and corporate transactions by electricity companies, energy markets, reliability standards and the issuance of short-term debt by public utilities regulated by FERC. FERC has authority to prohibit market manipulation in connection with FERC-regulated transactions, to conduct audits and investigations, and to impose significant civil penalties (up to approximately $1.6 million per day per violation, subject to periodic adjustment to account for inflation) for statutory violations and violations of the FERC’s rules or orders.</w:t>
      </w:r>
    </w:p>
    <w:p>
      <w:pPr>
        <w:spacing w:after="0" w:line="16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Indiana Electric is a “public utility” under the FPA and is subject to regulation by FERC. Houston Electric is not a “public utility” under the FPA and, therefore, is not generally regulated by FERC, although certain of its transactions are subject to limited FERC jurisdiction. FERC has certain responsibilities with respect to ensuring the reliability of electric transmission service, including transmission facilities owned by Houston Electric and other utilities within ERCOT. FERC has designated NERC as the ERO to promulgate standards, under FERC oversight, for all owners, operators and users of the bulk power system. The ERO and FERC have authority to (a) impose fines and other sanctions on applicable entities that fail to comply with approved standards and (b) audit compliance with approved standards. FERC has approved the delegation by NERC of authority for reliability in ERCOT to the Texas RE and in MISO to ReliabilityFirst Corporation. Neither Houston Electric nor Indiana Electric anticipate that the reliability standards proposed by NERC and approved by FERC will have a material adverse impact on their operations. To the extent that Houston Electric and Indiana Electric are required to make additional expenditures to comply with these standards, it is anticipated that Houston Electric and Indiana Electric will seek to recover those costs through the transmission charges that are imposed on all distribution service providers within ERCOT and the MISO, respectively, for electric transmission provided.</w:t>
      </w:r>
    </w:p>
    <w:p>
      <w:pPr>
        <w:spacing w:after="0" w:line="170"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FPA also provides that, whenever the Secretary of the U.S. Department of Energy determines that an emergency exists by reason of a sudden increase in the demand for electric energy, or a shortage of electric energy or of facilities for the generation or transmission of electric energy, then the Secretary of the U.S. Department of Energy has the authority to require by order such temporary connections of facilities and such generation, delivery, interchange or transmission of electric energy as in the Secretary’s judgment will best meet the demands of the emergency and serve the public interest.</w:t>
      </w:r>
    </w:p>
    <w:p>
      <w:pPr>
        <w:spacing w:after="0" w:line="162"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As a public utility holding company, under the Public Utility Holding Company Act of 2005, CenterPoint Energy and its consolidated subsidiaries are subject to reporting and accounting requirements and are required to maintain certain books and records and make them available for review by FERC and state regulatory authorities in certain circumstances.</w:t>
      </w:r>
    </w:p>
    <w:p>
      <w:pPr>
        <w:spacing w:after="0" w:line="145"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the Registrants’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19"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State and Local Regulation – Electric Transmission &amp; Distribution (CenterPoint Energy and Houston Electric)</w:t>
      </w:r>
    </w:p>
    <w:p>
      <w:pPr>
        <w:spacing w:after="0" w:line="20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Houston Electric is a member of ERCOT, which serves as the independent system operator and regional reliability coordinator for member electric power systems in most of Texas. The ERCOT market represents approximately 90% of the demand for power in Texas and is one of the nation’s largest power markets. The ERCOT market operates under the reliability standards developed by NERC, approved by FERC and monitored and enforced by the Texas RE. The PUCT has primary jurisdiction over the ERCOT market to ensure the adequacy and reliability of electricity supply across the state’s main interconnected power transmission grid.</w:t>
      </w:r>
    </w:p>
    <w:p>
      <w:pPr>
        <w:spacing w:after="0" w:line="162"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ERCOT ISO is responsible for operating the bulk electric power supply system in the ERCOT market. Houston Electric’s transmission business, along with those of other owners of transmission facilities in Texas, supports the operation of the ERCOT ISO. Houston Electric participates with the ERCOT ISO and other ERCOT utilities to plan, design, obtain regulatory approval for and construct new transmission lines necessary to increase bulk power transfer capability and to remove existing constraints on the ERCOT transmission grid.</w:t>
      </w:r>
    </w:p>
    <w:p>
      <w:pPr>
        <w:spacing w:after="0" w:line="15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Houston Electric conducts its operations pursuant to a CCN issued by the PUCT that covers its present service area and facilities. The PUCT and certain municipalities have the authority to set the rates and terms of service provided by Houston Electric under cost-of-service rate regulation. Houston Electric holds non-exclusive franchises from certain incorporated municipalities in its service territory. In exchange for payment of fees, these franchises give Houston Electric the right to use the streets and public rights-of-way of these municipalities to construct, operate and maintain its transmission and distribution system and to use that system to conduct its electric delivery business and for other purposes that the franchises permit. The terms of the franchises, with various expiration dates, typically range from 30 to 40 years.</w:t>
      </w:r>
    </w:p>
    <w:p>
      <w:pPr>
        <w:spacing w:after="0" w:line="164"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In ERCOT, end users purchase their electricity directly from certificated REPs. Houston Electric’s distribution rates charged to REPs for residential and small commercial customers are primarily based on amounts of energy delivered, whereas distribution rates for a majority of large commercial and industrial customers are primarily based on peak demand. All REPs in Houston Electric’s service area pay the same rates and other charges for transmission and distribution services. This regulated delivery charge may include the transmission and distribution rate (which includes municipal franchise fees), a DCRF mechanism for recovery of incremental distribution-invested capital above that which is already reflected in the base distribution rate, a TEEEF mechanism for recovery of costs associated with leasing and operating certain TEEEF, a TCRF mechanism for recovery of approved wholesale transmission cost changes billed by a transmission service provider, a nuclear decommissioning charge associated with decommissioning the South Texas nuclear generating facility, an EECRF charge, and charges associated with securitization of regulatory assets, stranded costs and restoration costs. Transmission rates charged to distribution companies are based on amounts of energy transmitted under “postage stamp” rates that do not vary with the distance the energy is being transmitted. All distribution companies in ERCOT pay Houston Electric the same rates and other charges for transmission services.</w:t>
      </w:r>
    </w:p>
    <w:p>
      <w:pPr>
        <w:spacing w:after="0" w:line="170"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With the IURC’s approval, Indiana Electric is a member of the MISO, a FERC-approved regional transmission organization. The MISO serves the electrical transmission needs of much of the Midcontinent region and maintains operational control over Indiana Electric’s electric transmission and generation facilities as well as those of other utilities in the region. Indiana Electric is an active participant in the MISO energy markets, bidding its owned generation into the Day Ahead and Real Time markets and procuring power for its retail customers at Locational Marginal Pricing as determined by the MISO market. Indiana Electric also receives transmission revenue that results from other members’ use of Indiana Electric’s transmission system. Generally, these transmission revenues, along with costs charged by the MISO, are considered components of base rates and any variance from that included in base rates is recovered from or refunded to retail customers through tracking mechanisms.</w:t>
      </w:r>
    </w:p>
    <w:p>
      <w:pPr>
        <w:spacing w:after="0" w:line="167"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certain of Houston Electric’s and Indiana Electric’s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and Local Regulation – Electric Generation (CenterPoint Energy)</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energy and capacity secured from Indiana Electric’s available generation resources are utilized primarily to serve the needs of retail electric customers residing within Indiana Electric’s franchised service territory. The expenses and capital investments associated with operating Indiana Electric’s generation facilities are recovered through IURC-approved base rates as well as periodic rate recovery mechanisms including the CECA, ECA, FAC, MCRA, and RCRA mechanism. Costs that are deemed unreasonable or imprudent by the IURC may not be recoverable through retail electric rates. Indiana Electric also receives revenues from the MISO to compensate it for benefits the generation facilities provide to the transmission system.</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Proceeds from the sales of energy from Indiana Electric’s generation facilities that exceed the requirements of retail customers are provided to retail electric customers.</w:t>
      </w:r>
    </w:p>
    <w:p>
      <w:pPr>
        <w:spacing w:after="0" w:line="200"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The generation facilities owned and operated by Indiana Electric are subject to various environmental regulations enforced by the EPA and the IDEM. Operations of Indiana Electric’s generation facilities are subject to regulation by the EPA and the IDEM as it pertains to water quality, waste disposal and air emissions from the generation facilities. For further discussion, see “Our Business — Environmental Matters” below.</w:t>
      </w:r>
    </w:p>
    <w:p>
      <w:pPr>
        <w:spacing w:after="0" w:line="157"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Indiana Electric’s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and Local Regulation – Natural Gas (CenterPoint Energy and CERC)</w:t>
      </w:r>
    </w:p>
    <w:p>
      <w:pPr>
        <w:spacing w:after="0" w:line="202"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In almost all communities in which CenterPoint Energy’s and CERC’s natural gas distribution businesses provide natural gas distribution services, they operate under franchises, certificates or licenses obtained from state and local authorities. The original terms of the franchises, with various expiration dates, typically range from 10 to 30 years. CenterPoint Energy’s and CERC’s natural gas distribution businesses expect to be able to renew expiring franchises. In most cases, franchises to provide natural gas utility services are not exclusive.</w:t>
      </w:r>
    </w:p>
    <w:p>
      <w:pPr>
        <w:spacing w:after="0" w:line="157"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4"/>
          <w:szCs w:val="14"/>
          <w:color w:val="auto"/>
        </w:rPr>
        <w:t>Substantially all of CenterPoint Energy’s and CERC’s natural gas distribution businesses are subject to cost-of-service rate regulation by the relevant state public utility commissions and, in Texas, by those municipalities that have retained original jurisdiction. In certain of the jurisdictions in which they operate, CenterPoint Energy’s and CERC’s natural gas distribution businesses have annual rate adjustment mechanisms that provide for changes in rates dependent upon certain changes in invested capital or actual margins realized.</w:t>
      </w:r>
    </w:p>
    <w:p>
      <w:pPr>
        <w:ind w:right="220" w:firstLine="255"/>
        <w:spacing w:after="0" w:line="266" w:lineRule="auto"/>
        <w:rPr>
          <w:sz w:val="20"/>
          <w:szCs w:val="20"/>
          <w:color w:val="auto"/>
        </w:rPr>
      </w:pPr>
      <w:r>
        <w:rPr>
          <w:rFonts w:ascii="Times New Roman" w:cs="Times New Roman" w:eastAsia="Times New Roman" w:hAnsi="Times New Roman"/>
          <w:sz w:val="14"/>
          <w:szCs w:val="14"/>
          <w:color w:val="auto"/>
        </w:rPr>
        <w:t>For a discussion of certain of CenterPoint Energy’s and CERC’s natural gas distribution businesses’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Department of Transportation (CenterPoint Energy and CERC)</w:t>
      </w:r>
    </w:p>
    <w:p>
      <w:pPr>
        <w:spacing w:after="0" w:line="149"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 and CERC are subject to regulation by PHMSA under the NGPSA and the HLPSA. The NGPSA delegated to PHMSA through DOT the authority to regulate gas pipelines. The HLPSA delegated to PHMSA through DOT the authority to develop, prescribe and enforce federal safety standards for the transportation of hazardous liquids by pipeline. Every four years PHMSA is up for reauthorization by the U.S. Congress and with that reauthorization comes changes to the legislative requirements that the U.S. Congress sets forth for the oversight of natural gas and hazardous liquid pipelines. In 2020, the PIPES Act was enacted. The PIPES Act reauthorized PHMSA through 2023 and imposed a few new mandates on the agency. The law establishes a PHMSA technology pilot, authorizes a new idled pipe operating status and contains process protections for operators during PHMSA enforcement proceedings. Section 114 of the PIPES Act is a self-mandating rule for natural gas pipeline operations like CERC’s that focuses on processes and procedures to eliminate or reduce emissions during normal operations. Further, Section 113 of the PIPES Act directed PHMSA to develop regulations to require natural gas pipeline operators to implement leak detection and repair programs, as well as requirements for mitigating emissions in operations. The PIPES Act of 2023 was approved by the House Transportation and Infrastructure Committee on December 6, 2023 to reauthorize PHMSA’s safety programs for the next four years. Final versions of the Section 113 Leak Detection and Repair, and Safety of Natural Gas Distribution Pipelines, 2020 PIPES Act rules remain frozen until a Department of Transportation appointee can review and proceed further.</w:t>
      </w:r>
    </w:p>
    <w:p>
      <w:pPr>
        <w:spacing w:after="0" w:line="337"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In January 2021, PHMSA published a final rule amending the federal Pipeline Safety Regulations to ease regulatory burdens on the construction, operation, and maintenance of gas transmission, distribution, and gathering systems.</w:t>
      </w:r>
    </w:p>
    <w:p>
      <w:pPr>
        <w:spacing w:after="0" w:line="145"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CenterPoint Energy and CERC anticipate that compliance with PHMSA’s regulations, performance of the remediation activities by CenterPoint Energy’s and CERC’s natural gas distribution businesses and intrastate pipelines, and verification of records on maximum allowable operating pressure will continue to require increases in both capital expenditures and operating costs. The level of expenditures will depend upon several factors, including age, location and operating pressures of the facilities. In particular, the cost of compliance with the DOT’s integrity management rules will depend on integrity testing and the repairs found to be necessary by such testing. Changes to the amount of pipe subject to integrity management, whether by expansion of the definition of the type of areas subject to integrity management procedures or of the applicability of such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ind w:right="140"/>
        <w:spacing w:after="0" w:line="270" w:lineRule="auto"/>
        <w:rPr>
          <w:sz w:val="20"/>
          <w:szCs w:val="20"/>
          <w:color w:val="auto"/>
        </w:rPr>
      </w:pPr>
      <w:r>
        <w:rPr>
          <w:rFonts w:ascii="Times New Roman" w:cs="Times New Roman" w:eastAsia="Times New Roman" w:hAnsi="Times New Roman"/>
          <w:sz w:val="14"/>
          <w:szCs w:val="14"/>
          <w:color w:val="auto"/>
        </w:rPr>
        <w:t>procedures outside of those defined areas, may also affect the costs incurred. Implementation by PHMSA of the PIPES Act, in particular the final rule implementing Section 113, acts reauthorizing PHMSA or other future acts may result in other regulations or the reinterpretation of existing regulations that could impact compliance costs. In addition, CenterPoint Energy and CERC may be subject to the DOT’s enforcement actions and penalties if they fail to comply with pipeline regulations.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202"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The following discussion is based on environmental matters in the Registrants’ businesses as of December 31, 2025. The Registrants’ operations are subject to stringent and complex laws and regulations pertaining to the environment. As an owner or operator of natural gas pipelines, distribution systems and storage, electric transmission and distribution systems, steam electric and renewable generation systems and the facilities that support these systems, the Registrants must comply with these laws and regulations at the federal, state and local levels. These laws and regulations can restrict or impact the Registrants’ business activities in many ways, including, but not limited to:</w:t>
      </w:r>
    </w:p>
    <w:p>
      <w:pPr>
        <w:spacing w:after="0" w:line="162"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way the Registrants can handle or dispose of wastes, including wastewater discharges and air emissions;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or prohibiting construction activities in sensitive areas such as wetlands, coastal regions or areas inhabited by endangered species;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remedial action and monitoring to mitigate environmental conditions caused by the Registrants’ operations or attributable to former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enjoining the operations of facilities with permits issued pursuant to such environmental laws and regulations;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impacting the demand for the Registrants’ services by directly or indirectly affecting the use or price of fossil fuels, including, but not limited to, natural gas.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comply with these requirements, the Registrants may need to spend substantial amounts and devote other resources from time to time to, among other activities:</w:t>
      </w:r>
    </w:p>
    <w:p>
      <w:pPr>
        <w:spacing w:after="0" w:line="200"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 or acquire new facilities and equipment;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permits for facility operations or purchase emissions allowances;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upgrade or replace existing and proposed equipment;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decommission or remediate waste management areas, fuel storage facilities and other locations.</w:t>
      </w:r>
    </w:p>
    <w:p>
      <w:pPr>
        <w:spacing w:after="0" w:line="185"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Failure to comply with these laws and regulations may trigger a variety of administrative, civil and criminal enforcement measures, including the assessment of monetary penalties, revocation of permits, the imposition of remedial actions and monitoring and the issuance of orders enjoining future operations. Certain environmental statutes impose strict, joint and several liability for costs required to assess, clean up and restore sites where hazardous substances have been stored, disposed or released. Moreover, it is not uncommon for neighboring landowners and other third parties to file claims for personal injury and/or property damage allegedly caused by the release of hazardous substances or other waste products into the environment.</w:t>
      </w:r>
    </w:p>
    <w:p>
      <w:pPr>
        <w:spacing w:after="0" w:line="162"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Our obligations associated with these requirements change as administrations change and as legislatures and regulators pass new laws and regulations and amend existing ones. Therefore, it is difficult to project future costs of compliance and their impact on competition. There can be no assurance as to the amount or timing of future expenditures for environmental compliance or remediation and monitoring, and actual future expenditures may be different from the amounts currently anticipated. The Registrants try to anticipate future regulatory requirements that might be imposed and plan accordingly to maintain compliance with changing environmental laws and regulations.</w:t>
      </w:r>
    </w:p>
    <w:p>
      <w:pPr>
        <w:spacing w:after="0" w:line="162"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Based on current regulatory requirements and interpretations, the Registrants do not believe that compliance with federal, state or local environmental laws and regulations will have a material adverse effect on their business, financial position, results of operations or cash flows. In addition, the Registrants believe that their current environmental remediation activities will not materially interrupt or diminish their operational ability. The Registrants cannot provide assurances that future events, such as changes in existing laws, the promulgation of new laws, or the development or discovery of new facts or conditions will not cause them to incur significant costs. The following is a discussion of material current environmental issues, laws and regulations that relate to the Registrants’ operations. The Registrants believe that they are in substantial compliance with these environmental laws and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GHG Emissions and Climate Change-Related Regulation and Compliance </w:t>
      </w:r>
      <w:r>
        <w:rPr>
          <w:rFonts w:ascii="Times New Roman" w:cs="Times New Roman" w:eastAsia="Times New Roman" w:hAnsi="Times New Roman"/>
          <w:sz w:val="14"/>
          <w:szCs w:val="14"/>
          <w:b w:val="1"/>
          <w:bCs w:val="1"/>
          <w:i w:val="1"/>
          <w:iCs w:val="1"/>
          <w:color w:val="auto"/>
        </w:rPr>
        <w:t>(CenterPoint Energy)</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issue of climate change has received focus at the state, federal and international level. As a result, from time to time, regulatory agencies have considered the modification of existing laws or regulations or the adoption of new laws or regulations addressing the emissions of GHG and other climate change-related matters on the state, federal or international level. On</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24" w:name="page25"/>
    <w:bookmarkEnd w:id="24"/>
    <w:p>
      <w:pPr>
        <w:ind w:right="180"/>
        <w:spacing w:after="0" w:line="261" w:lineRule="auto"/>
        <w:rPr>
          <w:sz w:val="20"/>
          <w:szCs w:val="20"/>
          <w:color w:val="auto"/>
        </w:rPr>
      </w:pPr>
      <w:r>
        <w:rPr>
          <w:rFonts w:ascii="Times New Roman" w:cs="Times New Roman" w:eastAsia="Times New Roman" w:hAnsi="Times New Roman"/>
          <w:sz w:val="14"/>
          <w:szCs w:val="14"/>
          <w:color w:val="auto"/>
        </w:rPr>
        <w:t>January 20, 2025, President Trump signed an executive order to withdraw the United States from the Paris Agreement (which took effect on January 27, 2026), marking a significant shift in U.S. climate policy; on January 7, 2026, it was announced that the United States will withdraw from the United Nations Framework Convention on Climate Change, a treaty that underpins international efforts on global climate; and on February 12, 2026, the EPA announced the finalization of a rule repealing the Endangerment Finding (defined below) as it relates to new motor vehicles. Accordingly, our obligations associated with GHG emissions and climate change-related matters change as administrations change and as legislatures and regulators pass new laws and regulations and amend existing ones.</w:t>
      </w:r>
    </w:p>
    <w:p>
      <w:pPr>
        <w:spacing w:after="0" w:line="164"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The EPA released its initial GHG regulation for fossil fuel-fired electric generating units in 2015. In April 2024, the EPA finalized the current New Source Performance Standards for Greenhouse Gas Emissions from New, Modified, Reconstructed Fossil Fuel-Fired Units; and Repeal of the Affordable Clean Energy Rule, which applies new GHG performance standards for those existing coal-fired power plants expected to continue operation beyond December 31, 2029. The rule is currently being challenged by a variety of stakeholders in litigation before the Circuit Court of Appeals for the D.C. Circuit. In October 2024, the U.S. Supreme Court declined to stay the implementation of the rule while the rule is on judicial review. However, on June 17, 2025, the EPA proposed a rule to repeal GHG emission standards for fossil fuel-fired electric generating units, or in the alternative, to repeal a narrower set of requirements, including the emission guidelines for existing fossil fuel-fired steam electric generating units, the carbon capture and sequestration/storage (CCS)-based standards for coal-fired steam generating units undertaking a large modification and the CCS-based standards for new base load stationary combustion turbines. Additionally, the IRA established the Methane Emissions Reduction Program, which imposes a charge on methane emissions from certain natural gas transmission facilities, the rules for which were finalized on November 18, 2024. However, on March 14, 2025, President Trump signed a Congressional Review Act resolution disapproving the EPA’s final rule, thereby prohibiting the rule from taking effect, and the OBBBA postponed the imposition of the methane emissions charge to 2034. On September 16, 2025, the EPA proposed a rule to end the Greenhouse Gas Reporting Program (“GHGRP”) for all sectors except petroleum and natural gas systems (excluding reporting for natural gas distribution, which would also be eliminated under the proposed rule). Reporting for petroleum and natural gas systems under the GHGRP would be deferred until 2034 under the proposal. On February 12, 2026, the EPA announced the repeal of the 2009 “Endangerment Finding” under the Clean Air Act, which found that GHG emissions endanger the public health and welfare of current and future generations and that emissions of GHGs from motor vehicles contribute to GHG pollution. The repeal calls into question the EPA’s authority to regulate GHG emissions, as well as the EPA’s prior scientific assessment of climate change risks. Litigation regarding the repeal is anticipated and it is unclear how the repeal will impact the EPA’s regulation of GHG emissions going forward. On March 6, 2024, the SEC adopted final rules to require disclosure of certain climate-related information in registration statements and annual reports. Litigation challenging the rule was filed by multiple parties in multiple jurisdictions, which have been consolidated and assigned to the U.S. Court of Appeals for the Eighth Circuit. On September 12, 2025, the U.S. Court of Appeals issued an order to hold the petitions challenging the climate disclosure rules in abeyance pending further action by the SEC.</w:t>
      </w:r>
    </w:p>
    <w:p>
      <w:pPr>
        <w:spacing w:after="0" w:line="16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4"/>
          <w:szCs w:val="14"/>
          <w:color w:val="auto"/>
        </w:rPr>
        <w:t>CenterPoint Energy has adopted energy transition goals. Because Texas is an unregulated market, CenterPoint Energy’s Scope 2 emissions estimates do not take into account Texas electric transmission and distribution assets in the line loss calculation and, in addition, exclude emissions related to purchased power in Indiana between 2024 and 2026 as estimated. CenterPoint Energy’s Scope 3 emissions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 These energy transition goals are expected to be used to position CenterPoint Energy to comply with regulatory requirements from any future administrations to further reduce GHG emissions. For more information regarding CenterPoint Energy’s energy transition goals and their related risks, see “Risk Factors — Risk Factors Affecting Regulatory, Environmental and Legal Risks — CenterPoint Energy is subject to operational and financial risks ...” CenterPoint Energy’s energy transition goals are aligned with Indiana Electric’s generation transition plan and are expected to position Indiana Electric to comply with future regulatory requirements related to GHG emissions reductions. Houston Electric, in contrast to some electric utilities including Indiana Electric, does not generate electricity, other than through TEEEF, and thus is not directly exposed to the risk of high capital costs and regulatory uncertainties that face electric utilities that burn fossil fuels to generate electricity.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Further, our third-party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relative to other fossil fuels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ind w:firstLine="255"/>
        <w:spacing w:after="0" w:line="257" w:lineRule="auto"/>
        <w:rPr>
          <w:sz w:val="20"/>
          <w:szCs w:val="20"/>
          <w:color w:val="auto"/>
        </w:rPr>
      </w:pPr>
      <w:r>
        <w:rPr>
          <w:rFonts w:ascii="Times New Roman" w:cs="Times New Roman" w:eastAsia="Times New Roman" w:hAnsi="Times New Roman"/>
          <w:sz w:val="14"/>
          <w:szCs w:val="14"/>
          <w:color w:val="auto"/>
        </w:rPr>
        <w:t>Compliance costs and other effects associated with climate change, reductions in GHG emissions and obtaining renewable energy sources remain uncertain. Significant changes in policy due to administration change can create regulatory uncertainty. For example, the repeal of the Endangerment Finding could lead to a patchwork of conflicting state superfund laws and state regulation relating to climate change and GHG emissions. Although the amount of compliance costs remains uncertain, any new regulation or legislation relating to climate change will likely result in an increase in compliance costs. For example,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energy transition goals, CenterPoint Energy expects to purchase carbon credits in the future; however, CenterPoint Energy does not currently expect the number of credits, or cost for those credits, to be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Air Emissions</w:t>
      </w:r>
    </w:p>
    <w:p>
      <w:pPr>
        <w:spacing w:after="0" w:line="20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Registrants’ operations are subject to the federal Clean Air Act and comparable state laws and regulations. These laws and regulations regulate emissions of air pollutants from various industrial sources, including electric generating facilities and natural gas processing plants and compressor stations, and also impose various monitoring and reporting requirements. Such laws and regulations may require pre-approval for the construction or modification of certain projects or facilities expected to produce air emissions or result in the increase of existing air emissions. The Registrants may be required to obtain and strictly comply with air permits containing various emissions and operational limitations, or utilize specific emission control technologies to limit emissions. Failure to comply with these requirements could result in monetary penalties, injunctions, conditions or restrictions on operations, and potentially criminal enforcement actions. The Registrants may be required to incur certain capital expenditures in the future for air pollution control equipment in connection with obtaining and maintaining operating permits and approvals for air emissions.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Water Discharges</w:t>
      </w:r>
    </w:p>
    <w:p>
      <w:pPr>
        <w:spacing w:after="0" w:line="20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Registrants’ operations are subject to the Federal Water Pollution Control Act of 1972, as amended, also known as the Clean Water Act, and analogous state laws and regulations. These laws and regulations impose detailed requirements and strict controls regarding the discharge of pollutants into waters of the United States. The unpermitted discharge of pollutants, including discharges resulting from a spill or leak incident, is prohibited. The Clean Water Act and regulations implemented thereunder also prohibit discharges of dredged and fill material into wetlands and other waters of the United States unless authorized by an appropriately issued permit. Any unpermitted release of petroleum or other pollutants from the Registrants’ pipelines or facilities could result in fines or penalties as well as significant remedial obligations.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Waters of the United States</w:t>
      </w:r>
    </w:p>
    <w:p>
      <w:pPr>
        <w:spacing w:after="0" w:line="200"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color w:val="auto"/>
        </w:rPr>
        <w:t xml:space="preserve">On May 25, 2023, the U.S. Supreme Court issued a decision limiting the scope of federal jurisdiction over wetlands in the case of </w:t>
      </w:r>
      <w:r>
        <w:rPr>
          <w:rFonts w:ascii="Times New Roman" w:cs="Times New Roman" w:eastAsia="Times New Roman" w:hAnsi="Times New Roman"/>
          <w:sz w:val="14"/>
          <w:szCs w:val="14"/>
          <w:i w:val="1"/>
          <w:iCs w:val="1"/>
          <w:color w:val="auto"/>
        </w:rPr>
        <w:t>Sackett v. Environmental Protection Agency</w:t>
      </w:r>
      <w:r>
        <w:rPr>
          <w:rFonts w:ascii="Times New Roman" w:cs="Times New Roman" w:eastAsia="Times New Roman" w:hAnsi="Times New Roman"/>
          <w:sz w:val="14"/>
          <w:szCs w:val="14"/>
          <w:color w:val="auto"/>
        </w:rPr>
        <w:t xml:space="preserve">, and on August 29, 2023, the EPA issued a final rule that sought to conform with the U.S. Supreme Court decision. As a result of ongoing rulemaking litigation, the Registrants’ operations in all states with the exception of Minnesota fall under the pre-2015 regulatory regime consistent with the Supreme Court decision in </w:t>
      </w:r>
      <w:r>
        <w:rPr>
          <w:rFonts w:ascii="Times New Roman" w:cs="Times New Roman" w:eastAsia="Times New Roman" w:hAnsi="Times New Roman"/>
          <w:sz w:val="14"/>
          <w:szCs w:val="14"/>
          <w:i w:val="1"/>
          <w:iCs w:val="1"/>
          <w:color w:val="auto"/>
        </w:rPr>
        <w:t>Sackett</w:t>
      </w:r>
      <w:r>
        <w:rPr>
          <w:rFonts w:ascii="Times New Roman" w:cs="Times New Roman" w:eastAsia="Times New Roman" w:hAnsi="Times New Roman"/>
          <w:sz w:val="14"/>
          <w:szCs w:val="14"/>
          <w:color w:val="auto"/>
        </w:rPr>
        <w:t>, while operations in Minnesota fall under the 2023 rule, as amended. However, on November 17, 2025, the EPA announced a proposed rule that seeks to further clarify the definition of “Waters of the United States.” CenterPoint Energy is unable to predict the outcome of current or future litigation or regulatory proceedings, but does not expect a material impact on its operations relating to these rules. CenterPoint Energy will continue to monitor regulatory and legal developments relating to the Clean Water Act that may affect its business.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ELG</w:t>
      </w:r>
    </w:p>
    <w:p>
      <w:pPr>
        <w:spacing w:after="0" w:line="202" w:lineRule="exact"/>
        <w:rPr>
          <w:sz w:val="20"/>
          <w:szCs w:val="20"/>
          <w:color w:val="auto"/>
        </w:rPr>
      </w:pPr>
    </w:p>
    <w:p>
      <w:pPr>
        <w:ind w:right="60" w:firstLine="255"/>
        <w:spacing w:after="0" w:line="267" w:lineRule="auto"/>
        <w:rPr>
          <w:sz w:val="20"/>
          <w:szCs w:val="20"/>
          <w:color w:val="auto"/>
        </w:rPr>
      </w:pPr>
      <w:r>
        <w:rPr>
          <w:rFonts w:ascii="Times New Roman" w:cs="Times New Roman" w:eastAsia="Times New Roman" w:hAnsi="Times New Roman"/>
          <w:sz w:val="14"/>
          <w:szCs w:val="14"/>
          <w:color w:val="auto"/>
        </w:rPr>
        <w:t>In 2015, the EPA finalized revisions to the existing steam electric wastewater discharge standards, which set more stringent wastewater discharge limits and effectively prohibited further wet disposal of coal ash in ash ponds. In February 2019, the IURC approved Indiana Electric’s ELG Compliance Plan for its F.B. Culley Generating Station, which was completed in compliance with the</w:t>
      </w:r>
    </w:p>
    <w:p>
      <w:pPr>
        <w:ind w:right="100"/>
        <w:spacing w:after="0" w:line="277" w:lineRule="auto"/>
        <w:rPr>
          <w:sz w:val="20"/>
          <w:szCs w:val="20"/>
          <w:color w:val="auto"/>
        </w:rPr>
      </w:pPr>
      <w:r>
        <w:rPr>
          <w:rFonts w:ascii="Times New Roman" w:cs="Times New Roman" w:eastAsia="Times New Roman" w:hAnsi="Times New Roman"/>
          <w:sz w:val="14"/>
          <w:szCs w:val="14"/>
          <w:color w:val="auto"/>
        </w:rPr>
        <w:t>requirements of ELG</w:t>
      </w:r>
      <w:r>
        <w:rPr>
          <w:rFonts w:ascii="Arial" w:cs="Arial" w:eastAsia="Arial" w:hAnsi="Arial"/>
          <w:sz w:val="15"/>
          <w:szCs w:val="15"/>
          <w:color w:val="auto"/>
        </w:rPr>
        <w:t>.</w:t>
      </w:r>
      <w:r>
        <w:rPr>
          <w:rFonts w:ascii="Times New Roman" w:cs="Times New Roman" w:eastAsia="Times New Roman" w:hAnsi="Times New Roman"/>
          <w:sz w:val="14"/>
          <w:szCs w:val="14"/>
          <w:color w:val="auto"/>
        </w:rPr>
        <w:t xml:space="preserve"> On April 25, 2024, the EPA released its final Supplemental ELG and Standards for the Steam Electric Generating Point Source Category, and on December 31, 2025, the EPA published its final rule further extending the applicable compliance deadlines. The Registrants currently anticipate that they will be in compliance with the Supplemental ELG Guidelines and any extensions thereto at the Culley facility due to previous wastewater treatment upgrades.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1" w:right="339" w:bottom="1440" w:gutter="0" w:footer="0" w:header="0"/>
        </w:sectPr>
      </w:pPr>
    </w:p>
    <w:bookmarkStart w:id="26" w:name="page27"/>
    <w:bookmarkEnd w:id="26"/>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Cooling Water Intake Structures</w:t>
      </w:r>
    </w:p>
    <w:p>
      <w:pPr>
        <w:spacing w:after="0" w:line="202"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Section 316 of the federal Clean Water Act requires steam electric generating facilities use “best technology available” to minimize adverse environmental impacts on a body of water. In May 2014, the EPA finalized a regulation requiring installation of “best technology available” to mitigate impingement and entrainment of aquatic species in cooling water intake structures. Indiana Electric has completed the required ecological studies and anticipates timely compliance at its F.B. Culley facility in accordance with deadlines to be established by IDEM.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Hazardous Waste</w:t>
      </w:r>
    </w:p>
    <w:p>
      <w:pPr>
        <w:spacing w:after="0" w:line="202"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The Registrants’ operations generate wastes, including some hazardous wastes, that are subject to the federal RCRA, and comparable state laws, which impose detailed requirements for the handling, storage, treatment, transport and disposal of hazardous and solid waste. RCRA currently exempts many natural gas gathering and field processing wastes from classification as hazardous waste. Specifically, RCRA excludes from the definition of hazardous wastewaters produced and other wastes associated with the exploration, development or production of crude oil and natural gas. However, these oil and gas exploration and production wastes are still regulated under state law and the less stringent non-hazardous waste requirements of RCRA. Moreover, ordinary industrial wastes such as paint wastes, waste solvents, laboratory wastes and waste compressor oils may be regulated as hazardous waste. The transportation of natural gas in pipelines may also generate some hazardous wastes that would be subject to RCRA or comparable state law requirements.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Coal Ash</w:t>
      </w:r>
    </w:p>
    <w:p>
      <w:pPr>
        <w:spacing w:after="0" w:line="202"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In 2015, the EPA finalized the CCR Rule. Indiana Electric historically operated three ash ponds, two at the F.B. Culley facility (Culley East and Culley West) and one at the A.B. Brown facility; these ash ponds are no longer in operation. Both the Culley East and A.B. Brown facility have been taken out of service and closure activities continue. The Culley West pond closure activities were completed in December 2020. For further discussion about Indiana Electric’s ash ponds, see Note 14(c) to the consolidated financial statements.</w:t>
      </w:r>
    </w:p>
    <w:p>
      <w:pPr>
        <w:spacing w:after="0" w:line="15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certain sites in Indiana for further evaluation. For further discussion about Indiana Electric’s sites identified pursuant to the CCR Legacy Rule, see Note 14(c)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Liability for Remediation</w:t>
      </w:r>
    </w:p>
    <w:p>
      <w:pPr>
        <w:spacing w:after="0" w:line="202"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CERCLA, also known as “Superfund,” and comparable state laws impose liability, without regard to fault or the legality of the original conduct, on certain classes of persons responsible for the release of “hazardous substances” into the environment. Classes of PRPs include the current and past owners or operators of sites where a hazardous substance was released and companies that disposed or arranged for the disposal of hazardous substances at offsite locations such as landfills. Although petroleum, as well as natural gas, is expressly excluded from CERCLA’s definition of a “hazardous substance,” in the course of the Registrants’ ordinary operations they do, from time to time, generate wastes that may fall within the definition of a “hazardous substance.” CERCLA authorizes the EPA and, in some cases, third parties, to take action in response to threats to the public health or the environment and to recover the costs they incur from the responsible classes of persons. Under CERCLA, the Registrants could potentially be subject to joint and several liability for the costs of cleaning up and restoring sites where hazardous substances have been released, for damages to natural resources, and for associated response and assessment costs, including for the costs of certain health studies.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Liability for Preexisting Conditions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preexisting environmental matters, see Note 14(c)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20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believes its employees are its greatest asset, and their unique skills, knowledge, experience and backgrounds are critical to safely and reliably delivering electricity and natural gas to CenterPoint Energy’s customers across its service territories. CenterPoint Energy’s core values—safety, integrity, accountability, initiative and respect—guide how it makes decisions and provide the foundation for a strong culture of ethics where employees are responsible for upholding these values and following CenterPoint Energy’s Ethics and Compliance Code.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number of employees by Registrant and reportable segment as of December 31,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Employees</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Employees Represented by Collective Bargaining Groups</w:t>
            </w:r>
          </w:p>
        </w:tc>
      </w:tr>
      <w:tr>
        <w:trPr>
          <w:trHeight w:val="15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Reportable Segment</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10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10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66"/>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3,153</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3,259</w:t>
            </w: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100" w:type="dxa"/>
            <w:vAlign w:val="bottom"/>
          </w:tcPr>
          <w:p>
            <w:pPr>
              <w:spacing w:after="0"/>
              <w:rPr>
                <w:sz w:val="14"/>
                <w:szCs w:val="14"/>
                <w:color w:val="auto"/>
              </w:rPr>
            </w:pP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w:t>
            </w:r>
          </w:p>
        </w:tc>
      </w:tr>
      <w:tr>
        <w:trPr>
          <w:trHeight w:val="17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Corporate and Other </w:t>
            </w:r>
            <w:r>
              <w:rPr>
                <w:rFonts w:ascii="Times New Roman" w:cs="Times New Roman" w:eastAsia="Times New Roman" w:hAnsi="Times New Roman"/>
                <w:sz w:val="9"/>
                <w:szCs w:val="9"/>
                <w:color w:val="auto"/>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8,794</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3,153</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2,984</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1,613</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20" w:right="140" w:hanging="260"/>
        <w:spacing w:after="0" w:line="270" w:lineRule="auto"/>
        <w:tabs>
          <w:tab w:leader="none" w:pos="51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in the Corporate and Other reportable segment provide services to the Electric and Natural Gas reportable segments and the costs of these services have been charged directly to the Electric and Natural Gas reportable segments using assignment methods that management believes are reasonable. For further information, see Note 18 to the consolidated financial statements.</w:t>
      </w:r>
    </w:p>
    <w:p>
      <w:pPr>
        <w:spacing w:after="0" w:line="157"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workforce includes 3,712 employees represented by collective bargaining agreements. For information about the status of collective bargaining agreements, see Note 8(j) to the consolidated financial statements.</w:t>
      </w:r>
    </w:p>
    <w:p>
      <w:pPr>
        <w:spacing w:after="0" w:line="143"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Talent Attraction, Development and Retention. </w:t>
      </w:r>
      <w:r>
        <w:rPr>
          <w:rFonts w:ascii="Times New Roman" w:cs="Times New Roman" w:eastAsia="Times New Roman" w:hAnsi="Times New Roman"/>
          <w:sz w:val="14"/>
          <w:szCs w:val="14"/>
          <w:color w:val="auto"/>
        </w:rPr>
        <w:t>CenterPoint Energy’s human capital priorities include attracting, retaining and developing high performing talent through its talent management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activities. CenterPoint Energy endeavors to attract quality candidates through its recruitment and selection processes. CenterPoint Energy seeks to recruit qualified employees regardless of race, gender, color, sexual orientation, age, religion, national origin, or physical or mental disability. The CenterPoint Energy talent acquisition team engages with college campuses to create awareness of opportunities in engineering, finance and technical occupations, and maintains relationships with student organizations across CenterPoint Energy’s service territories. CenterPoint Energy also maintains internship and apprenticeship programs that are designed to provide real-world experience, training and mentoring to interns and apprentices. Additionally, CenterPoint Energy works with other energy utility companies, associations, unions, educators and business partners to support workforce readiness and long-term talent development in the energy industry.</w:t>
      </w:r>
    </w:p>
    <w:p>
      <w:pPr>
        <w:spacing w:after="0" w:line="165" w:lineRule="exact"/>
        <w:rPr>
          <w:sz w:val="20"/>
          <w:szCs w:val="20"/>
          <w:color w:val="auto"/>
        </w:rPr>
      </w:pPr>
    </w:p>
    <w:p>
      <w:pPr>
        <w:ind w:right="120" w:firstLine="255"/>
        <w:spacing w:after="0" w:line="268" w:lineRule="auto"/>
        <w:rPr>
          <w:sz w:val="20"/>
          <w:szCs w:val="20"/>
          <w:color w:val="auto"/>
        </w:rPr>
      </w:pPr>
      <w:r>
        <w:rPr>
          <w:rFonts w:ascii="Times New Roman" w:cs="Times New Roman" w:eastAsia="Times New Roman" w:hAnsi="Times New Roman"/>
          <w:sz w:val="14"/>
          <w:szCs w:val="14"/>
          <w:color w:val="auto"/>
        </w:rPr>
        <w:t>CenterPoint Energy’s strategy to attract, retain and develop its employees combines talent discussions and succession planning as essential elements of workforce planning and development. To support its commitment to delivering electricity and natural gas safely and reliably, CenterPoint Energy focuses on the continued development of its greatest assets, its employees, to build a sustainable leadership pipeline. To meet the business’ future needs, CenterPoint Energy’s goal is to create great leaders capable of developing their employees, while supporting the business’ goals</w:t>
      </w:r>
    </w:p>
    <w:p>
      <w:pPr>
        <w:spacing w:after="0" w:line="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and maintaining a high-performing workforce through employee engagement and workplace culture. CenterPoint Energy has a number of tools for leadership and employee development that expand opportunities available to employees. For example, CenterPoint Energy maintains a corporate university that offers a variety of content and resources to employees, including instructor-led and on-demand learning, to help meet employees’ needs for professional, leadership and business unit-specific development. Additionally, CenterPoint Energy conducts regular talent discussions, including succession planning with various levels of leadership, to provide business continuity and identify its future leaders and opportunities. CenterPoint Energy invests in employee development throughout the year to align individual performance to business needs, drive development planning and support career progression. CenterPoint Energy’s progress is reviewed regularly for continued improvement.</w:t>
      </w:r>
    </w:p>
    <w:p>
      <w:pPr>
        <w:spacing w:after="0" w:line="165" w:lineRule="exact"/>
        <w:rPr>
          <w:sz w:val="20"/>
          <w:szCs w:val="20"/>
          <w:color w:val="auto"/>
        </w:rPr>
      </w:pPr>
    </w:p>
    <w:p>
      <w:pPr>
        <w:ind w:right="240"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Engagement. </w:t>
      </w:r>
      <w:r>
        <w:rPr>
          <w:rFonts w:ascii="Times New Roman" w:cs="Times New Roman" w:eastAsia="Times New Roman" w:hAnsi="Times New Roman"/>
          <w:sz w:val="14"/>
          <w:szCs w:val="14"/>
          <w:color w:val="auto"/>
        </w:rPr>
        <w:t>CenterPoint Energy is dedicated to advancing an open and high-performing work environment where business results are achieved through the experience, skills, abilities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talents of the whole workforce. CenterPoint Energy aims to create a workplace where every employee is engaged, aligned with our values, strategy, goals and priorities, and understands how each person contributes to CenterPoint Energy’s long-term performance. In 2025, CenterPoint Energy’s senior leadership team conducted an employee engagement survey and held quarterly town hall meetings with employees to share key company updates, with employees across CenterPoint Energy participating in person or via video conference.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p>
      <w:pPr>
        <w:ind w:right="20"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Compensation and Benefits. </w:t>
      </w:r>
      <w:r>
        <w:rPr>
          <w:rFonts w:ascii="Times New Roman" w:cs="Times New Roman" w:eastAsia="Times New Roman" w:hAnsi="Times New Roman"/>
          <w:sz w:val="14"/>
          <w:szCs w:val="14"/>
          <w:color w:val="auto"/>
        </w:rPr>
        <w:t>CenterPoint Energy is committed to providing its employees with competitive pay and benefits. Its compensation philosophy is to maintain employee total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compensation that is competitive with the relevant markets, internally equitable, and based on company and individual performance. CenterPoint Energy expects that this will enable it to attract, motivate and retain employees with the skills and competencies necessary to achieve its business strategy. In addition to competitive compensation, CenterPoint Energy provides its employees with a comprehensive benefits package designed to help employees stay healthy, care for their families, plan for the future and enjoy peace of mind. The benefits package includes medical, dental, vision, life, disability and accidental insurance coverage; retirement, company match savings plans; paid time off, parental leave, wellness and employee assistance programs. The employee wellness resources encompass support for mental, financial and physical health.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3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(as of February 13, 2026)</w:t>
            </w:r>
          </w:p>
        </w:tc>
      </w:tr>
      <w:tr>
        <w:trPr>
          <w:trHeight w:val="246"/>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7380" w:type="dxa"/>
            <w:vAlign w:val="bottom"/>
          </w:tcPr>
          <w:p>
            <w:pPr>
              <w:ind w:left="358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180"/>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Jason P. Wells</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00" w:type="dxa"/>
            <w:vAlign w:val="bottom"/>
            <w:tcBorders>
              <w:top w:val="single" w:sz="8" w:color="CCEEFF"/>
            </w:tcBorders>
            <w:shd w:val="clear" w:color="auto" w:fill="CCEEFF"/>
          </w:tcPr>
          <w:p>
            <w:pPr>
              <w:spacing w:after="0"/>
              <w:rPr>
                <w:sz w:val="15"/>
                <w:szCs w:val="15"/>
                <w:color w:val="auto"/>
              </w:rPr>
            </w:pPr>
          </w:p>
        </w:tc>
        <w:tc>
          <w:tcPr>
            <w:tcW w:w="7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Chair of the Board, President and Chief Executive Officer</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A. Foster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10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Monica Karuturi</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100" w:type="dxa"/>
            <w:vAlign w:val="bottom"/>
            <w:shd w:val="clear" w:color="auto" w:fill="CCEEFF"/>
          </w:tcPr>
          <w:p>
            <w:pPr>
              <w:spacing w:after="0"/>
              <w:rPr>
                <w:sz w:val="15"/>
                <w:szCs w:val="15"/>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General Counsel</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Jason M. Ryan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Regulatory Services and Government Affairs</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Jesus Soto, Jr.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00" w:type="dxa"/>
            <w:vAlign w:val="bottom"/>
            <w:shd w:val="clear" w:color="auto" w:fill="CCEEFF"/>
          </w:tcPr>
          <w:p>
            <w:pPr>
              <w:spacing w:after="0"/>
              <w:rPr>
                <w:sz w:val="15"/>
                <w:szCs w:val="15"/>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Operating Officer</w:t>
            </w:r>
          </w:p>
        </w:tc>
      </w:tr>
    </w:tbl>
    <w:p>
      <w:pPr>
        <w:spacing w:after="0" w:line="238"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Jason P. Wells </w:t>
      </w:r>
      <w:r>
        <w:rPr>
          <w:rFonts w:ascii="Times New Roman" w:cs="Times New Roman" w:eastAsia="Times New Roman" w:hAnsi="Times New Roman"/>
          <w:sz w:val="14"/>
          <w:szCs w:val="14"/>
          <w:color w:val="auto"/>
        </w:rPr>
        <w:t>has served as Chair of the Board since October 8, 2025, and as President and Chief Executive Officer of CenterPoint Energy and a member of the Board since January 5,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Previously he served as President and Chief Operating Officer of CenterPoint Energy from May 2023 to January 2024; as President, Chief Operating Officer and Chief Financial Officer of CenterPoint Energy from January 2023 to May 2023; and as Executive Vice President and Chief Financial Officer of CenterPoint Energy from September 2020 to December 2022. Prior to joining CenterPoint Energy, Mr. Wells served as Executive Vice President and Chief Financial Officer of PG&amp;E Corporation, a publicly traded electric utility holding company serving customers in Northern and Central California through its subsidiary Pacific Gas and Electric Company, from June 2019 to September 2020. He previously served as Senior Vice President and Chief Financial Officer of PG&amp;E Corporation from January 2016 to June 2019 and as Vice President, Business Finance of Pacific Gas and Electric Company from August 2013 to January 2016. PG&amp;E Corporation filed Chapter 11 bankruptcy on January 29, 2019 and successfully emerged from bankruptcy on July 1, 2020. He also served in various finance and accounting roles of increasing responsibility at Pacific Gas and Electric Company. Mr. Wells earned his bachelor’s degree and master’s degree in accounting, both from the University of Florida. He is a certified public accountant (inactive). Mr. Wells serves on the Executive Committee and Board for the Greater Houston Partnership, the Advisory Board of the Kinder Institute for Urban Research at Rice University, and the Boards of Central Houston, Inc., M.D. Anderson Cancer Center, Performing Arts Houston and the United Way of Greater Houston.</w:t>
      </w:r>
    </w:p>
    <w:p>
      <w:pPr>
        <w:spacing w:after="0" w:line="165"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Christopher A. Foster </w:t>
      </w:r>
      <w:r>
        <w:rPr>
          <w:rFonts w:ascii="Times New Roman" w:cs="Times New Roman" w:eastAsia="Times New Roman" w:hAnsi="Times New Roman"/>
          <w:sz w:val="14"/>
          <w:szCs w:val="14"/>
          <w:color w:val="auto"/>
        </w:rPr>
        <w:t>has served as Executive Vice President and Chief Financial Officer of CenterPoint Energy since May 2023. Previously, he served as Executive Vice President and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Officer of PG&amp;E Corporation, a publicly traded electric utility holding company serving customers in Northern and Central California through its subsidiary Pacific Gas and Electric Company, from March 2021 to May 2023. He previously served in various positions of increasing responsibilities at PG&amp;E since 2011, including as Vice President and Interim Chief Financial Officer from September 2020 to March 2021, and Vice President, Treasury and Investor Relations from March 2020 to September 2020. PG&amp;E Corporation filed Chapter 11 bankruptcy on January 29, 2019 and successfully emerged from bankruptcy on July 1, 2020. He earned his bachelor’s degree from Michigan State University. Mr. Foster serves on the Board of Exploratorium, a San Francisco-based science and technology museum, as well as the Board of Directors of the Houston Parks Board.</w:t>
      </w:r>
    </w:p>
    <w:p>
      <w:pPr>
        <w:spacing w:after="0" w:line="163"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Monica Karuturi </w:t>
      </w:r>
      <w:r>
        <w:rPr>
          <w:rFonts w:ascii="Times New Roman" w:cs="Times New Roman" w:eastAsia="Times New Roman" w:hAnsi="Times New Roman"/>
          <w:sz w:val="14"/>
          <w:szCs w:val="14"/>
          <w:color w:val="auto"/>
        </w:rPr>
        <w:t>has served as Executive Vice President and General Counsel of CenterPoint Energy since January 2022. She previously served as Senior Vice President and General Counsel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July 2020 to January 2022; as Vice President and Deputy General Counsel from April 2019 to July 2020; as Vice President and Associate General Counsel - Corporate and Securities from October 2015 to April 2019; and as Associate General Counsel - Corporate from September 2014 to October 2015. Prior to joining CenterPoint Energy, Ms. Karuturi served as counsel for LyondellBasell Industries for corporate and finance matters and strategic transactions. Ms. Karuturi earned her bachelor’s degree from Brown University, master’s degree in health policy and management from Columbia University, and juris doctorate from Georgetown University Law Center. Ms. Karuturi was appointed as a Commissioner of the Texas Access to Justice Commission by the Texas Supreme Court in June 2015 and served in this capacity until June 2021. She was also appointed as Chair of the Houston Bar Foundation in 2021 and served until December 2024. She currently serves as a member of the Board of Directors of Nextpower Inc. and the Houston Zoo.</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29" w:name="page30"/>
    <w:bookmarkEnd w:id="29"/>
    <w:p>
      <w:pPr>
        <w:ind w:right="20" w:firstLine="255"/>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Jason M. Ryan </w:t>
      </w:r>
      <w:r>
        <w:rPr>
          <w:rFonts w:ascii="Times New Roman" w:cs="Times New Roman" w:eastAsia="Times New Roman" w:hAnsi="Times New Roman"/>
          <w:sz w:val="14"/>
          <w:szCs w:val="14"/>
          <w:color w:val="auto"/>
        </w:rPr>
        <w:t>has served as Executive Vice President, Regulatory Services and Government Affairs of CenterPoint Energy since January 2022. He previously served as Senior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Regulatory Services and Government Affairs from July 2020 to January 2022; as Senior Vice President and General Counsel from April 2019 to July 2020; as Senior Vice President, Regulatory and Government Affairs from February 2019 to April 2019; as Vice President of Regulatory and Government Affairs and Associate General Counsel from March 2017 to February 2019; and as Vice President and Associate General Counsel from September 2014 to March 2017. He was appointed to the Texas Diabetes Council by Texas Governor Perry in 2013 for a term ending in 2019, and he has since been reappointed by Texas Governor Abbott twice (most recently in 2025 for a term ending in 2031). Mr. Ryan earned his bachelor’s degree from the Texas McCombs School of Business and juris doctorate from the University of Texas School of Law. Mr. Ryan currently serves on the boards of the Lone Star Flight Museum and the Association of Electric Companies of Texas. He also serves on the executive committee of the legal committee of the American Gas Association.</w:t>
      </w:r>
    </w:p>
    <w:p>
      <w:pPr>
        <w:spacing w:after="0" w:line="16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Jesus Soto, Jr. </w:t>
      </w:r>
      <w:r>
        <w:rPr>
          <w:rFonts w:ascii="Times New Roman" w:cs="Times New Roman" w:eastAsia="Times New Roman" w:hAnsi="Times New Roman"/>
          <w:sz w:val="14"/>
          <w:szCs w:val="14"/>
          <w:color w:val="auto"/>
        </w:rPr>
        <w:t>has served as Executive Vice President, Chief Operating Officer of CenterPoint Energy since August 2025. Previously, he served as Executive Vice President, Utility Performance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Solutions of Quanta Services, Inc., a publicly-traded energy infrastructure services company, from October 2023 to August 2025. He previously served as the Chief Operating Officer for Mears Group, Inc., a wholly-owned subsidiary of Quanta Services, Inc., from September 2019 to September 2023, and as Senior Vice President of Gas Operations for PG&amp;E Corporation, a publicly traded electric utility holding company serving customers in Northern and Central California through its subsidiary Pacific Gas and Electric Company, from May 2012 to July 2019. Prior to joining PG&amp;E Corporation, he served as Vice President of Operations Services and Vice President of Engineering and Construction for the Pipeline Group of El Paso Corporation, a former publicly traded natural gas and related energy products provider. Mr. Soto earned his bachelor's degree from the University of Texas at El Paso, his master's degree in civil engineering from Texas A&amp;M University, and his master's degree in business administration from the University of Phoenix. Mr. Soto serves on the Board of Directors of GTI Energy, an energy technology development and training company, and as Chair of the Industry Pipeline Safety Management Systems Team of the American Petroleum Institute.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9" w:right="339" w:bottom="1440" w:gutter="0" w:footer="0" w:header="0"/>
        </w:sectPr>
      </w:pPr>
    </w:p>
    <w:bookmarkStart w:id="30" w:name="page31"/>
    <w:bookmarkEnd w:id="30"/>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20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 is a holding company that conducts all of its business operations through subsidiaries, primarily Houston Electric, CERC and SIGECO. The following, along with any additional legal proceedings identified or incorporated by reference in Item 3 of this combined report on Form 10-K, summarizes the principal risk factors associated with the holding company and the businesses conducted by its subsidiaries. However, additional risks and uncertainties either not presently known or not currently believed by management to be material may also adversely affect CenterPoint Energy’s businesses. For other factors that may cause actual results to differ from those indicated in any forward-looking statement or projection contained in this combined report on Form 10-K, see “Management’s Discussion and Analysis of Financial Condition and Results of Operations — Certain Factors Affecting Future Earnings” in Item 7, which should be read in conjunction with the risk factors contained in this Item 1A. Carefully consider each of the risks described below, including those relating to Houston Electric, LLC and CenterPoint Energy Resources Corp., which, along with CenterPoint Energy, Inc., are collectively referred to as the Registrants. Unless the context indicates otherwise, where appropriate, information relating to a specific Registrant has been segregated and labeled as such and specific references to Houston Electric and CERC in this section also pertain to CenterPoint Energy. In this combined report on Form 10-K, the terms “our,” “we” and “us” are used as abbreviated references to CenterPoint Energy, Inc. together with its consolidated subsidiaries.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Affecting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Electric Transmission, Distribution and Generation (CenterPoint Energy and Houston Electric)</w:t>
      </w:r>
    </w:p>
    <w:p>
      <w:pPr>
        <w:spacing w:after="0" w:line="200" w:lineRule="exact"/>
        <w:rPr>
          <w:sz w:val="20"/>
          <w:szCs w:val="20"/>
          <w:color w:val="auto"/>
        </w:rPr>
      </w:pPr>
    </w:p>
    <w:p>
      <w:pPr>
        <w:jc w:val="both"/>
        <w:ind w:right="240" w:firstLine="127"/>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Disruptions at third-party or Indiana Electric’s power generation facilities, generation inadequacy, directives issued by regulatory authorities or other matters could cause interruptions in Houston Electric’s and Indiana Electric’s ability to provide transmission and distribution services and Houston Electric and Indiana Electric may not be able to promptly respond, repair and restart their facilities, which could adversely affect their businesses, financial condition, results of operations and cash flows.</w:t>
      </w:r>
    </w:p>
    <w:p>
      <w:pPr>
        <w:spacing w:after="0" w:line="168"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Houston Electric owns the transmission and distribution infrastructure in its service territory that delivers electric power to its customers, but it does not own or operate any bulk power generation facilities. Indiana Electric owns and operates power generation facilities in addition to the transmission and distribution infrastructure in its service territory. Both Houston Electric and Indiana Electric must follow the directives issued by their independent system operator, ERCOT and MISO, respectively. ERCOT and MISO have in the past and may in the future issue directives requiring members to implement controlled outages as a result of an emergency or reliability issues. Houston Electric has faced and may in the future face challenges to its planning and preparation for such directives and its implementation of Load Shed, including, for example, allegations that it had discretion as to how to Load Shed and which customers experienced outages and the duration of those outages. As a result, claims and lawsuits could be filed against CenterPoint Energy for personal injury, property damage or other damage or loss as a result of its Load Shed planning, preparation, implementation, and decisions in order to meet the directives of ERCOT and MISO, respectively. For example, during the February 2021 Winter Storm Event, the ERCOT regulated Texas electric system experienced an unprecedented power generation shortage as the amount of electricity generated by the state’s power generation companies was insufficient to meet the amount demanded by customers. This resulted in ERCOT directing TDUs to significantly Load Shed, which caused customer outages across the ERCOT electric grid of Texas, including in Houston Electric’s service territory. CenterPoint Energy received various claims and lawsuits with respect to the February 2021 Winter Storm Event, alleging, among other things, wrongful death, personal injury, property damage and other injuries and damages. See Note 7 to the consolidated financial statements and “— Houston Electric’s use of TEEEF ...” for further information. If power generation capacity is severely disrupted or is inadequate for any reason in the future or in the event of significant system disturbances, Houston Electric’s or Indiana Electric’s transmission and distribution services may be diminished, interrupted or halted, which could lead to prolonged customer outages, and Houston Electric and Indiana Electric may not be able to promptly repair and restart their facilities, which could adversely affect our businesses, financial condition, results of operations and cash flows. Further, as with the lawsuits filed in the aftermath of the February 2021 Winter Storm Event, claims and lawsuits could be filed against the Registrants, which could also adversely affect our business, financial condition, and results of operations.</w:t>
      </w:r>
    </w:p>
    <w:p>
      <w:pPr>
        <w:spacing w:after="0" w:line="172"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Additionally, Indiana Electric’s generating facilities are subject to operational risks, and Houston Electric and Indiana Electric are subject to risk relating to the generating facilities that supply the power transmitted by Houston Electric and Indiana Electric; these risks have in the past and may in the future result in service interruptions and unscheduled outages, unanticipated operation and maintenance expenses, reputational harm and increased purchase power costs. For example, in June 2022, F.B. Culley Unit 3, a coal-fired generation unit, experienced a boiler feed pump turbine failure that caused the unit to be out of service for nearly nine months. In this time frame, CenterPoint Energy purchased energy on the open market. Such open market purchases have and may again result in increased costs and have an adverse impact on our business, financial condition, results of operations and cash flows. Further, Indiana Electric is party to a number of PPAs with third parties. Indiana Electric’s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p>
      <w:pPr>
        <w:ind w:right="60"/>
        <w:spacing w:after="0" w:line="256" w:lineRule="auto"/>
        <w:rPr>
          <w:sz w:val="20"/>
          <w:szCs w:val="20"/>
          <w:color w:val="auto"/>
        </w:rPr>
      </w:pPr>
      <w:r>
        <w:rPr>
          <w:rFonts w:ascii="Times New Roman" w:cs="Times New Roman" w:eastAsia="Times New Roman" w:hAnsi="Times New Roman"/>
          <w:sz w:val="14"/>
          <w:szCs w:val="14"/>
          <w:color w:val="auto"/>
        </w:rPr>
        <w:t>operations may be disrupted or otherwise insufficient if third parties do not deliver required power under our PPAs. These risks can arise from circumstances such as facility shutdowns or malfunctions due to equipment failure or operator or other human error; aging infrastructure; interruption of fuel supply or increased prices of fuel as a result of, among other things, contract expirations, inflation and/or tariffs; disruptions in the production or delivery of electricity; inability to comply with regulatory or permit requirements; governmental action; labor disputes; severe weather; natural disasters; or cyberattacks, all of which could adversely affect Indiana Electric’s and Houston Electric’s businesses, including their financial condition, results of operations and cash flows. Further, Indiana Electric currently relies on coal for a portion of its generation capacity. Indiana Electric purchases the majority of its coal supply, and in 2025 purchased all of its coal supply, from a single, unrelated party and, although the coal supply is under long-term contract, the loss of this supplier or transportation interruptions could adversely affect its ability to deliver electricity to its customers and adversely impact Indiana Electric’s business, financial condition, results of operations and cash flows. Future labor shortages in the coal industry as well as coal supply shortages (such as those experienced by Indiana Electric in 2021 and part of 2022), may lead to increased cost and have an adverse impact on our business, financial condition, results of operations and cash flows. Further, as Indiana Electric’s generating facilities may experience unanticipated disruptions as a result of renewable supply shortages, including, but not limited to, unfavorable wind and solar conditions such as cloudy or windless days, and such disruptions could adversely affect its ability to deliver electricity to its customers and adversely impact Indiana Electric’s business, financial condition, results of operations and cash flows.</w:t>
      </w:r>
    </w:p>
    <w:p>
      <w:pPr>
        <w:spacing w:after="0" w:line="169"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operations of Houston Electric and Indiana Electric are subject to the usual hazards associated with electricity transmission and distribution, including inclement or severe weather, natural disasters, including wildfires, mechanical failure, contact with electrified facilities by people, equipment, and debris, unscheduled downtime, equipment interruptions, loss or outage of key technology platforms or systems, contamination, remediation, explosions, fires, chemical spills, discharges or releases of toxic or hazardous substances and other environmental risks. Such hazards can cause personal injury and loss of life, severe damage to or destruction of property and equipment, including loss of transmission and distribution lines and related equipment and environmental damage, and may result in suspension of operations, disruption of service to customers, prolonged outages and the imposition of civil or criminal penalties. For example, in 2024, Hurricane Beryl caused significant damage to Houston Electric’s electric delivery system and resulted in a substantial number of its customers being without power, many for extended periods of time. Although CenterPoint Energy currently maintains property and casualty insurance, this insurance is limited in scope and subject to exceptions, conditions and coverage limitations and may not cover the costs associated with potential hazards incident to Houston Electric and Indiana Electric’s businesses, and there is no guarantee that the insurance that CenterPoint Energy currently maintains will continue to be available at rates we believe are reasonable.</w:t>
      </w:r>
    </w:p>
    <w:p>
      <w:pPr>
        <w:spacing w:after="0" w:line="165" w:lineRule="exact"/>
        <w:rPr>
          <w:sz w:val="20"/>
          <w:szCs w:val="20"/>
          <w:color w:val="auto"/>
        </w:rPr>
      </w:pPr>
    </w:p>
    <w:p>
      <w:pPr>
        <w:ind w:right="8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Indiana Electric’s execution of its generation transition plan is subject to various risks, including timely recovery of capital investments and increased costs and risks related to the timing and cost of development and/or construction of new generation facilities.</w:t>
      </w:r>
    </w:p>
    <w:p>
      <w:pPr>
        <w:spacing w:after="0" w:line="143"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Indiana requires each electric utility to develop and submit an IRP to the IURC every three years, unless extended, that uses economic modeling to consider the costs and risks associated with available resource options to provide reliable, cost effective electric service for the next 20-year period. Indiana Electric has used past IRPs and will continue to use future IRPs to evaluate its mix of generation resources. Indiana Electric engages with the communities it serves, its regulators and third-parties in developing its generation transition plan. Recent IRPs, including the 2025 IRP, have identified preferred portfolios that include a wider mix of generating resources such as coal-fired generation, solar, wind, solar with storage and dispatchable natural gas combustion turbines. While the IURC does not approve or reject Indiana Electric’s IRP, the IURC does comment on the IRP. Indiana Electric is required to obtain a CPCN prior to constructing or acquiring generating resources. Indiana Electric also obtains IURC approval of PPAs and demand-side management plans to help support cost recovery.</w:t>
      </w:r>
    </w:p>
    <w:p>
      <w:pPr>
        <w:spacing w:after="0" w:line="167"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Indiana Electric must manage several risks associated with its generation transition plan. The IURC may delay providing comments on an IRP, requiring Indiana Electric to either wait for comments or proceed to implement its IRP without IURC comments. The IURC comments may raise concerns with Indiana Electric’s IRP that make it difficult to obtain approval of the generation transition plan if not addressed. There is no guarantee that the IURC will approve Indiana Electric’s requests to implement part of its generation transition. If Indiana Electric fails to receive IURC approvals necessary to acquire the projects or resources identified in its IRP or if other governmental action is taken with respect to Indiana Electric’s generation resources or generation transition plan, Indiana Electric may not be able to implement its generation transition plan in a timely manner or at all. For example, while Indiana Electric’s 2025 IRP (similar to previous IRPs) preferred portfolios included the retirement of F.B. Culley Unit 2, a coal-fired generation unit, by the end of 2025, the U.S. Department of Energy issued emergency order 202(c) in December 2025 directing Indiana Electric to continue operating the unit through March 23, 2026. Additionally, changes in how renewable resources are accredited to meet MISO’s planning reserve margin requirement have made it less economic to pursue these resources. In connection with its IRPs, Indiana Electric’s determinations with respect to the appropriate mix of generation resources may change from plans that were previously announced. For example, while Indiana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ind w:right="140"/>
        <w:spacing w:after="0" w:line="264" w:lineRule="auto"/>
        <w:rPr>
          <w:sz w:val="20"/>
          <w:szCs w:val="20"/>
          <w:color w:val="auto"/>
        </w:rPr>
      </w:pPr>
      <w:r>
        <w:rPr>
          <w:rFonts w:ascii="Times New Roman" w:cs="Times New Roman" w:eastAsia="Times New Roman" w:hAnsi="Times New Roman"/>
          <w:sz w:val="14"/>
          <w:szCs w:val="14"/>
          <w:color w:val="auto"/>
        </w:rPr>
        <w:t>Electric’s 2022/2023 IRP recommended the conversion of F.B. Culley Unit 3 from coal to natural gas by 2027, the 2025 IRP re-evaluated this conversion in light of customer affordability concerns, among other things, and deferred the decision regarding F.B. Culley Unit 3’s replacement to a future IRP. If Indiana Electric is unable to implement its generation transition plan, it may have an adverse effect on CenterPoint Energy’s ability to execute on its energy transition goals, execute on its growth strategy, achieve its financial goals, and otherwise impact its business, financial condition, results of operations and cash flows.</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Even if a generation project is approved, risks associated with the development or construction of any new generation exist, including new legislation or governmental action restricting or delaying new generation, moratorium legislation, changes to trade practices (including tariffs, bans, retaliatory trade measures taken against the United States or related governmental action), changes to business practice manuals of MISO or corresponding impacts such as interconnection delays (which may be exacerbated by significant new load additions), the ability to procure resources needed to build at a reasonable cost, scarcity of resources and labor, the ability to appropriately estimate costs of new generation, the effects of potential construction delays, project scope changes, and cost overruns, cost of and ability to meet capacity requirements and related customer affordability considerations. For example, due to shifting market dynamics, changing project considerations such as substantial delays in commercial operation dates (due in part to MISO interconnection delays), cost increases and concerns about customer affordability, Indiana Electric terminated several wind and solar projects in 2025. If Indiana Electric is unable to meet its generation needs through development or acquisition of new generation, it would be required to buy the necessary capacity and electricity on the open market. Such open market purchases may result in increased costs and may have an adverse impact on our business, financial condition, results of operations and cash flows. If we are unable to complete or acquire such generation facilities or resources, or if they do not perform as anticipated, our business, financial condition, results of operations and cash flows may be adversely affected.</w:t>
      </w:r>
    </w:p>
    <w:p>
      <w:pPr>
        <w:spacing w:after="0" w:line="169" w:lineRule="exact"/>
        <w:rPr>
          <w:sz w:val="20"/>
          <w:szCs w:val="20"/>
          <w:color w:val="auto"/>
        </w:rPr>
      </w:pPr>
    </w:p>
    <w:p>
      <w:pPr>
        <w:ind w:right="36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Houston Electric’s receivables are primarily concentrated in a small number of REPs, and any delay or default in payments of these receivables could adversely affect Houston Electric’s business, financial condition, results of operations and cash flows.</w:t>
      </w:r>
    </w:p>
    <w:p>
      <w:pPr>
        <w:spacing w:after="0" w:line="14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Houston Electric’s receivables from the distribution of electricity are collected from REPs that supply the electricity. As of December 31, 2025, Houston Electric provided electric delivery service to approximately 67 REPs. Adverse conditions, including, but not limited to, the February 2021 Winter Storm Event or other extreme weather (which may result in abnormal power prices), structural problems in the market served by ERCOT, the impact of public health events or similar occurrences, mismanagement by the REPs, inflation or financial difficulties of one or more REPs, have and may in the future impair the ability of these REPs to pay for Houston Electric’s services or cause them to delay such payments. Houston Electric depends on these REPs to remit payments on a timely basis. Applicable PUCT regulations significantly limit the extent to which Houston Electric can apply normal commercial terms to otherwise seek credit protection from firms desiring to provide retail electric service in its service territory, and Houston Electric thus remains at risk for payments relating to services provided prior to any shift to another REP or provider of last resort. Houston Electric’s PUCT-approved tariff outlines the remedies available to Houston Electric in the event that a REP defaults on amounts owed. Among the remedies available to Houston Electric are seeking recourse against any cash deposit, letter of credit, or surety bond provided by the REP or implementing mutually agreeable terms with the REP. Another remedy is to require that customers be shifted to another REP or a provider of last resort. Houston Electric thus incurs risk for payments related to services provided prior to the shift to another REP or the provider of last resort. A significant portion of Houston Electric’s billed receivables from REPs are due from affiliates of NRG and Vistra Energy Corp. Houston Electric’s aggregate billed receivables balance from REPs as of December 31, 2025 was $279 million. Approximately 37% and 23% of this amount was owed by affiliates of NRG and Vistra Energy Corp., respectively. Any delay or default in payment by REPs could adversely affect Houston Electric’s business, financial condition, results of operations and cash flows. If a REP was unable to meet its obligations, it could consider, among various options, restructuring under the bankruptcy laws, in which event such REP might seek to avoid honoring its obligations, and claims might be made regarding prior payments Houston Electric had received from such REP. For example, following the February 2021 Winter Storm Event, multiple REPs filed for bankruptcy. As of December 31, 2025 and 2024, as authorized by the PUCT, CenterPoint Energy and Houston Electric had a regulatory asset of $7 million and $8 million, respectively for bad debt expenses resulting from REPs’ defaults on their obligations to pay delivery charges to Houston Electric, net of collateral and recovery in rates. See “— Rate regulation of the Registrants’ electric ...” For further information on certain of Houston Electric’s ongoing regulatory proceedings, see “Management’s Discussion and Analysis of Financial Condition and Results of Operations — Liquidity and Capital Resources — Regulatory Matters” in Item 7 of Part II of this report.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ind w:right="18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Houston Electric’s use of TEEEF is subject to various risks, potential performance issues and allegations about Houston Electric’s procurement and deployment of the resources (including the planning, execution and effectiveness of the same), regulatory and environmental requirements, and timely recovery of capital.</w:t>
      </w:r>
    </w:p>
    <w:p>
      <w:pPr>
        <w:spacing w:after="0" w:line="14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Following the February 2021 Winter Storm Event, the Texas legislature passed a law to allow TDUs, such as Houston Electric, to lease and temporarily operate TEEEF during widespread power outages where ERCOT has ordered a TDU to Load Shed or the TDU’s distribution facilities are not being fully served by the bulk power system under normal operations. In response to this legislation, Houston Electric began leasing large (27 MW to 32 MW) TEEEF and medium (5.7 MW) TEEEF. In 2023, the Texas legislature amended the law to allow wider use of TEEEF, and in response, Houston Electric has entered into contractual arrangements to facilitate access to small (200 kW to 1,250 kW) TEEEF units; the small TEEEF units represent approximately 4% of the MWs of Houston Electric’s total portfolio of TEEEF assets. In 2025, following the passage of the TEEEF Rule, Houston Electric requested from the PUCT preapproval to lease small TEEEF units for a three-year term. These proceedings remain ongoing and, until PUCT preapproval is received, Houston Electric plans to maintain the current contractual arrangement providing access to the small TEEEF units on a month-to-month basis. See Note 7 to the consolidated financial statements for further information. Additionally, in June 2025, the law was further amended to provide that, effective on or after the date of the amendment’s passage, TDUs may only enter into, renew or extend leases for TEEEF units with a maximum generation capacity of five or fewer MW and that are rapidly deployable. The law prescribes specific and limited use for TEEEF, and Houston Electric’s TEEEF have limited generation capacity, such that in future events customers could still be without power despite deployment of TEEEF resources. Additionally, as further described below, the large TEEEF units (which represent approximately 91% of the MWs of Houston Electric’s total portfolio of TEEEF assets as of December 31, 2025) were released to the greater San Antonio region as of June 2025 for a contractual term through March 2027 unless terminated earlier in accordance with the provisions of the ERCOT Transaction, and Houston Electric has proposed releasing the medium TEEEF units (which represent approximately 5% of the MWs of Houston Electric’s total portfolio of TEEEF assets as of December 31, 2025).</w:t>
      </w:r>
    </w:p>
    <w:p>
      <w:pPr>
        <w:spacing w:after="0" w:line="174"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4"/>
          <w:szCs w:val="14"/>
          <w:color w:val="auto"/>
        </w:rPr>
        <w:t>If Houston Electric is unable to deploy sufficient TEEEF resources in time to respond to a particular event (including as a result of releasing TEEEF to third parties or similar transactions as further described below); if TEEEF resources fail to perform, or are perceived to fail to perform, as intended; if Houston Electric is otherwise unable, or perceived as unable, to provide back-up generation resources and restore power (such as in the event of ERCOT issuing a directive requiring TDUs to Load Shed); or if the use of TEEEF resources or their failure to perform causes or is alleged to cause any personal injury, property damage, or other damage or loss due to allegations Houston Electric failed to deploy such units reasonably or effectively and failed to respond to particular power outages, Houston Electric could be subject to claims, demands, litigation, liability, regulatory scrutiny, and loss of reputation and new legislation could be passed making it no longer viable for Houston Electric to lease TEEEF at the same or similar scale that it currently leases such resources or at all. For example, following Hurricane Beryl, various federal, state and local governmental and regulatory agencies and other entities called for or conducted inquiries and investigations into the efforts made by Houston Electric to prepare for, and respond to, this event, including, among other things, Houston Electric’s procurement of TEEEF, and certain government officials argued that Houston Electric, rather than ratepayers, should be held responsible for paying approximately $800 million (the amount the PUCT had previously approved Houston Electric to recover from ratepayers relating to Houston Electric’s leasing of TEEEF). Ongoing and future inquiries, investigations and proposed legislation regarding Houston Electric’s TEEEF could adversely affect our business, financial condition, results of operations and cash flows, including with respect to our recovery of costs incurred as a result of Hurricane Beryl or future severe weather events; the assessment of financial penalties; changes to Houston Electric’s system, service territories, operations and/or regulatory treatment; and the viability for Houston Electric to continue leasing TEEEF.</w:t>
      </w:r>
    </w:p>
    <w:p>
      <w:pPr>
        <w:spacing w:after="0" w:line="16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In June 2025, Houston Electric entered into the ERCOT Transaction, subject to PUCT approval, to release its large TEEEF units to ERCOT at CPS Energy facilities to serve the greater San Antonio region until March 2027 unless terminated earlier pursuant to the provisions of the ERCOT Transaction, reduce its TEEEF fleet capacity and reduce its rates to reflect the removal of the large TEEEF units from its fleet. Following the completion of service in the San Antonio area, Houston Electric anticipates that it would complete one or more future transactions involving its large TEEEF units; because the TEEEF units would not be available to serve customers during such time, Houston Electric plans to continue to not charge customers for these units for any future periods. Further, in November 2025, Houston Electric proposed to release its medium TEEEF units from its TEEEF fleet and remove the associated lease costs from its rates. Houston Electric also anticipates entering into and receiving revenue from future transactions involving its medium TEEEF units. There can be no assurance that the PUCT will approve the ERCOT Transaction and Houston Electric’s proposal to release its medium TEEEF units. If the ERCOT Transaction and/or Houston Electric’s proposal to release its medium TEEEF units are not approved, it may have an adverse effect on our business, financial condition, results of operations and cash flows, as well as potentially lead to negative consequences from regulatory authorities or other public authorities. Suitable future transactions may not be available on terms and conditions we find acceptable, or the expected benefits of Houston Electric’s release of its large and medium TEEEF units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ind w:right="80"/>
        <w:spacing w:after="0" w:line="264" w:lineRule="auto"/>
        <w:rPr>
          <w:sz w:val="20"/>
          <w:szCs w:val="20"/>
          <w:color w:val="auto"/>
        </w:rPr>
      </w:pPr>
      <w:r>
        <w:rPr>
          <w:rFonts w:ascii="Times New Roman" w:cs="Times New Roman" w:eastAsia="Times New Roman" w:hAnsi="Times New Roman"/>
          <w:sz w:val="14"/>
          <w:szCs w:val="14"/>
          <w:color w:val="auto"/>
        </w:rPr>
        <w:t>or any completed future transactions may not be realized fully or at all, or may not be realized in the anticipated timeframe, which could adversely impact our business, financial condition, results of operations and cash flows. Finally, if such transactions are successful and thereby result in Houston Electric having fewer TEEEF units to deploy in its service territory, and conditions occur that could be or are perceived to have the potential to be addressed by Houston Electric’s deployment of TEEEF, Houston Electric could be subject to claims, demands, litigation, liability, regulatory scrutiny and loss of reputation.</w:t>
      </w:r>
    </w:p>
    <w:p>
      <w:pPr>
        <w:spacing w:after="0" w:line="16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Despite the recovery of certain TEEEF costs in the past, there can be no assurance that Houston Electric will seek to or be able to recover certain future TEEEF costs or be able to retain those costs previously approved for recovery. For example, in 2024, the TCA filed a complaint with the PUCT requesting that it end the cost recovery and return on investment on Houston Electric’s large and medium TEEEF units as previously approved, and these proceedings remain ongoing. See Note 7 to the consolidated financial statements for further information. If Houston Electric is unable to recover or must return any or certain of its TEEEF costs, our business, financial condition, results of operations and cash flows may be adversely affected. Additionally, while Houston Electric has insurance coverage and indemnity rights for its use of TEEEF resources, if its insurers or indemnitors fail to meet their indemnity obligations, Houston Electric could be liable for personal injury, property damage, or other damage or loss. Further, TEEEF resources are subject to various environmental regulations and permitting requirements, which could have an impact on Houston Electric’s ability to use these units. If Houston Electric is not in compliance with any environmental regulation or permitting requirement, Houston Electric could be subject to further potential liability. The use of TEEEF is also subject to various other requirements, and failure to comply with them could subject Houston Electric to additional liability as well as challenges to its use of TEEEF in general.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Natural Gas (CenterPoint Energy and CERC)</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Access to natural gas supplies and pipeline transmission and storage capacity are essential components of reliable service for our natural gas business customers.</w:t>
      </w:r>
    </w:p>
    <w:p>
      <w:pPr>
        <w:spacing w:after="0" w:line="202"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We depend on third-party service providers to maintain an adequate supply of natural gas and for available storage and intrastate and interstate pipeline capacity to satisfy our customers’ needs, all of which are critical to system reliability. Substantially all of our natural gas supply is purchased on intrastate and interstate pipelines. If we are unable to secure an independent natural gas supply of our own or if third-party service providers fail to timely deliver natural gas to meet our requirements, the resulting decrease in natural gas supply in our service territories could have an adverse effect on our business, financial condition, results of operations and cash flows. Additionally, a significant disruption, whether through reduced intrastate and interstate pipeline transmission or storage deliveries or other events affecting natural gas supply, including, but not limited to, operational failures, hurricanes, tornadoes, floods, severe winter weather conditions, wildfires, acts of terrorism, human error or cyberattacks or changes in legislative or regulatory requirements, could also have a negative impact on our businesses, financial condition, results of operations and cash flows. Further, to the extent that our natural gas requirements cannot be met through access to or continued use of existing natural gas infrastructure or if additional infrastructure, including onshore and offshore exploration and production facilities, gathering and processing systems and pipeline and storage capacity is not constructed at a rate that satisfies demand, then our operations could be negatively affected.</w:t>
      </w:r>
    </w:p>
    <w:p>
      <w:pPr>
        <w:spacing w:after="0" w:line="165" w:lineRule="exact"/>
        <w:rPr>
          <w:sz w:val="20"/>
          <w:szCs w:val="20"/>
          <w:color w:val="auto"/>
        </w:rPr>
      </w:pPr>
    </w:p>
    <w:p>
      <w:pPr>
        <w:ind w:right="2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fluctuations in natural gas prices, which could affect the ability of our suppliers and customers to meet their obligations or may impact our operations, which could adversely affect our business, financial condition, results of operations and cash flows.</w:t>
      </w:r>
    </w:p>
    <w:p>
      <w:pPr>
        <w:spacing w:after="0" w:line="14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are subject to risk associated with changes in the price of natural gas. The regional and other markets in which we purchase natural gas are competitive and can be subject to significant pricing volatility as a result of many factors, including inflation, adverse weather conditions, supply and demand changes, availability of competitively priced alternative energy sources, political and geopolitical instability, commodity production levels and storage capacity, energy and environmental legislation and regulations and economic and financial market conditions. The natural gas market has been, and may continue to be, volatile due to growing domestic demand, increased natural gas exports, weather and other factors. Significant increases in natural gas prices, such as those experienced during the February 2021 Winter Storm Event, might affect our ability to collect balances due from customers and could create the potential for uncollectible accounts expense to exceed the recoverable levels built into tariff rates. In addition, a sustained period of high natural gas prices could (i) decrease demand for natural gas in the areas in which we operate, thereby resulting in decreased sales and revenues and (ii) increase the risk that our suppliers or customers fail or are unable to meet their obligations. An increase in natural gas prices would also increase working capital requirements by increasing the investment that must be made to maintain natural gas inventory levels.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5" w:name="page36"/>
    <w:bookmarkEnd w:id="35"/>
    <w:p>
      <w:pPr>
        <w:ind w:right="36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natural gas businesses must compete with alternate energy sources, which could result in less natural gas delivered and have an adverse impact on our business, financial condition, results of operations and cash flows.</w:t>
      </w:r>
    </w:p>
    <w:p>
      <w:pPr>
        <w:spacing w:after="0" w:line="143"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Our natural gas businesses compete primarily with alternate energy sources such as electricity and other fuel sources. In some areas, intrastate pipelines, other natural gas distributors and natural gas marketers also compete directly with us for natural gas sales to end users. In addition, as a result of federal regulatory changes affecting interstate pipelines, natural gas marketers operating on these pipelines may be able to bypass our facilities and market, sell and/or transport natural gas directly to commercial and industrial customers. Any reduction in the amount of natural gas delivered by us as a result of competition with alternate energy sources may have an adverse impact on our business, financial condition,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Affecting Regulatory, Environmental and Legal Risks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Rate regulation of the Registrants’ electric and natural gas businesses may delay or deny their ability to earn an expected return and fully and timely recover their costs.</w:t>
      </w:r>
    </w:p>
    <w:p>
      <w:pPr>
        <w:spacing w:after="0" w:line="20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The Registrants’ electric and natural gas businesses are regulated by certain municipalities, state commissions and federal agencies, such as FERC. Their rates are set in comprehensive base rate proceedings (i.e., general rate cases) based on an analysis of their invested capital, their expenses and other factors in a designated test year (often either fully or partially historic), subject to periodic review and adjustments. Each of these rate proceedings is subject to third-party intervention and appeal, and the timing of a general base rate proceeding may be out of the Registrants’ control. The Registrants can make no assurance that their or their subsidiaries respective base rate proceedings will result in requested or favorable adjustments to their rates, in full and timely cost recovery or approval of other requested items, including, among other things, capital structure and ROE. Moreover, these base rate proceedings have caused in certain instances, and in the future could cause, the Registrants’ electric and/or natural gas businesses to recover their investments below their requested levels, below the national average return for utilities or below recently approved return levels for other utilities in their respective jurisdictions. For instance, in the 2024 Houston Electric general rate case, Houston Electric filed a base rate case seeking approval for revenue increases of approximately $60 million and a 10.4% ROE, but pursuant to the final settlement agreement filed with the PUCT, Houston Electric received an overall revenue requirement decrease of approximately $47 million to current revenues and a 9.65% ROE relative to the initial filing. To the extent the regulatory process does not allow the Registrants to make a full and timely recovery of appropriate costs, their businesses, financial condition, results of operations and cash flows could be adversely affected. Further, the Registrants or their subsidiaries might be required to implement additional measures, such as the adoption of ring-fencing measures by Houston Electric in connection with its 2019 rate case proceeding. Such additional measures may adversely impact the Registrants’ businesses and could have an adverse effect on their businesses, financial condition, results of operations and cash flows.</w:t>
      </w:r>
    </w:p>
    <w:p>
      <w:pPr>
        <w:spacing w:after="0" w:line="167"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The rates that Registrants’ electric and natural gas businesses are allowed to charge may not match their costs at any given time, a situation referred to as “regulatory lag.” Regulatory lag has been and may be exaggerated in the future under certain circumstances, such as increased capital investments that are recovered in arrears. For example, the MPUC ordered extraordinary gas costs incurred in the February 2021 Winter Storm Event be recovered over a 63-month period from 2022 — 2027 and CERC forego recovery of the associated carrying costs. Though several interim rate adjustment mechanisms have been approved by jurisdictional regulatory authorities and implemented by the Registrants and their subsidiaries to reduce the effects of regulatory lag (for example, CSIA, DCRF, DRR, DSMA, GRIP, RCRA, TCOS and TDSIC), such adjustment mechanisms are subject to the applicable regulatory body’s approval, which we cannot assure would be approved, and are subject to certain limitations that may reduce or otherwise impede the Registrants’ or their subsidiaries ability to adjust their rates or result in rates below those requested. Therefore, the Registrants can make no assurance filings for such mechanisms will result in favorable adjustments to rates or in full cost recovery. Further, from time to time, the Registrants’ regulators approve the issuance of system restoration bonds or securitization bonds to facilitate the recovery of certain qualified costs, including costs incurred as a result of severe weather or to recover stranded asset costs. For example, Houston Electric is currently seeking to recover system restoration costs associated with Hurricane Beryl and certain other significant storms through the issuance and sale of non-recourse system restoration bonds. The issuance of system restoration bonds or securitization bonds may be delayed due to regulatory or other actions outside of our control. If the issuance of system restoration bonds or securitization bonds is delayed, we may not be able to recover our costs in a timely manner, which could have an adverse effect on CenterPoint Energy’s, CERC’s, and Houston Electric’s businesses, financial condition, results of operations and cash flows.</w:t>
      </w:r>
    </w:p>
    <w:p>
      <w:pPr>
        <w:spacing w:after="0" w:line="167" w:lineRule="exact"/>
        <w:rPr>
          <w:sz w:val="20"/>
          <w:szCs w:val="20"/>
          <w:color w:val="auto"/>
        </w:rPr>
      </w:pPr>
    </w:p>
    <w:p>
      <w:pPr>
        <w:ind w:right="340" w:firstLine="255"/>
        <w:spacing w:after="0" w:line="270" w:lineRule="auto"/>
        <w:rPr>
          <w:sz w:val="20"/>
          <w:szCs w:val="20"/>
          <w:color w:val="auto"/>
        </w:rPr>
      </w:pPr>
      <w:r>
        <w:rPr>
          <w:rFonts w:ascii="Times New Roman" w:cs="Times New Roman" w:eastAsia="Times New Roman" w:hAnsi="Times New Roman"/>
          <w:sz w:val="14"/>
          <w:szCs w:val="14"/>
          <w:color w:val="auto"/>
        </w:rPr>
        <w:t>Inherent in the regulatory process is some level of risk that jurisdictional regulatory authorities may challenge the reasonableness or prudency of operating expenses incurred or capital investments made by the Registrants or their subsidiaries and deny the full recovery of their cost of service in rates. For example, concerns about customer affordability could cause regulators to approve lesser amounts in ratemaking or cost recovery proceedings. From time to time, reviews and investigations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4"/>
          <w:szCs w:val="14"/>
          <w:color w:val="auto"/>
        </w:rPr>
        <w:t>have caused in certain instances, and in the future could cause, the Registrants to recover their costs or investments below their requested levels. For example, in October 2022, the MPUC issued a written order disallowing recovery of approximately $36 million of the $409 million originally requested by CERC in connection with its recovery of costs incurred as a result of the February 2021 Winter Storm Event. Notwithstanding the application of such rate adjustment mechanisms, the regulatory process by which rates are determined is subject to change as a result of legislative processes, rulemakings or litigation, as the case may be, and may not always be available or result in rates that will produce recovery of the Registrants’ or their subsidiaries’ costs or enable them to earn their authorized return. New legislation could be adopted in any of the states in which we operate that could alter the regulatory framework and prevent us from getting timely recovery of our costs and investments. Additionally, changes to the rate case or interim adjustment mechanisms (including the termination of such mechanisms) could result in an increase in regulatory lag or otherwise impact the Registrants’ ability to recover their costs in a timely manner. Decisions from regulators are typically subject to appeal, and any such appeal could further exacerbate regulatory lag and lead to additional uncertainty associated with rate case proceedings. The regulatory process may also be adversely affected by the political, regulatory and economic environment and customer affordability concerns in the states in which we operate. We are also affected by the actions of numerous advocacy groups, and success by any such groups in directly or indirectly influencing legislators and regulators could have a material adverse effect on our business, financial condition, results of operations and cash flows. To the extent the regulatory process does not allow the Registrants to make a full and timely recovery of appropriate costs, their businesses, financial condition, results of operations and cash flows could be adversely affected. For further information on rate case proceedings and interim rate adjustment mechanisms, see “Management’s Discussion and Analysis of Financial Condition and Results of Operations — Liquidity and Capital Resources — Regulatory Matters” in Item 7 of Part II of this report.</w:t>
      </w:r>
    </w:p>
    <w:p>
      <w:pPr>
        <w:spacing w:after="0" w:line="174"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The regulated utility businesses, and the energy industry as a whole, have experienced a period of rising costs and investments and an upward trend in spending, especially with respect to infrastructure investments (including those that have already been approved by a regulator). For example, Houston Electric’s SRP, which was approved by the PUCT in November 2025, includes twenty-seven resiliency measures totaling approximately $2.68 billion in capital investments and an estimated $185 million in operations and maintenance expense. Rising costs and investments and the upward trend in spending is likely to continue in the foreseeable future and could result in more frequent rate cases and requests for, and the continuation of, cost recovery mechanisms, all of which could result in adverse cost recovery determinations and/or face resistance from customers and other stakeholders, especially in a rising cost environment, whether due to inflation, customer affordability concerns, tariffs or changes to governmental policies and programs, high fuel prices or otherwise, and/or in periods of economic decline or hardship. Significant increases in costs could increase financing needs and otherwise adversely affect our business, financial condition, results of operations and cash flows.</w:t>
      </w:r>
    </w:p>
    <w:p>
      <w:pPr>
        <w:spacing w:after="0" w:line="166" w:lineRule="exact"/>
        <w:rPr>
          <w:sz w:val="20"/>
          <w:szCs w:val="20"/>
          <w:color w:val="auto"/>
        </w:rPr>
      </w:pPr>
    </w:p>
    <w:p>
      <w:pPr>
        <w:ind w:right="52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successful execution and completion of capital projects and programs, including those within our 10-year capital plan, are subject to substantial risks, and our business, financial condition, results of operations and cash flows could be materially affected should such efforts not be executed and completed as planned.</w:t>
      </w:r>
    </w:p>
    <w:p>
      <w:pPr>
        <w:spacing w:after="0" w:line="14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We are managing ongoing, and planning future, significant capital projects relating to, among other things, improvements to our electric and natural gas transmission and distribution infrastructure. The execution of our capital projects, including those within our 10-year capital plan, may not be completed in accordance with current expectations or produce the desired results. Our ability to execute and complete our capital projects, including Houston Electric’s proposed 765 kV and other transmission projects, in a timely and cost-effective manner and within budget is contingent upon many variables and subject to substantial risks. These variables and risks include, but are not limited to, availability of and costs for materials, equipment, commodities and qualified labor; cost and availability of financing; cost of regulatory compliance; economic and market conditions; regulatory approvals, licensing and permitting; land and easement acquisition (including requirements and constraints relating to eminent domain); regulatory, political, public and community relations risks (including in relation to customer affordability concerns); tax law; our ability to capitalize on business opportunities and such opportunities providing desirable rates of return; load growth (including our forecasts thereof) and our ability to capitalize on opportunities relating thereto; safety and environmental requirements; the ability of third parties to provide timely and satisfactory performance under their contracts; delays and cost increases; and supply chains and material constraints. Certain events that may be beyond our control may occur that materially affect the schedule, cost and performance of these projects, including Houston Electric’s proposed 765 kV and other transmission projects. These events may relate to facing public and policymaker opposition to the projects or the real or perceived cost of such projects; delays in obtaining permits; challenges in securing sufficient land/easements for projects (including challenges to our use of eminent domain); shortages in materials and qualified labor; third parties not performing as expected or required under their contracts and/or experiencing financial problems that inhibit their ability to fulfill their obligations under contracts; supply chain delays or disruptions; changes in the scope and timing of projects; strikes; and adverse weather conditions. For example, our failure to capitalize on the opportunities presented by these developments or potential large load customers delaying or cancelling their planned projects could lead to delays or the cancellation of the projects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7" w:name="page38"/>
    <w:bookmarkEnd w:id="37"/>
    <w:p>
      <w:pPr>
        <w:ind w:right="180"/>
        <w:spacing w:after="0" w:line="270" w:lineRule="auto"/>
        <w:rPr>
          <w:sz w:val="20"/>
          <w:szCs w:val="20"/>
          <w:color w:val="auto"/>
        </w:rPr>
      </w:pPr>
      <w:r>
        <w:rPr>
          <w:rFonts w:ascii="Times New Roman" w:cs="Times New Roman" w:eastAsia="Times New Roman" w:hAnsi="Times New Roman"/>
          <w:sz w:val="14"/>
          <w:szCs w:val="14"/>
          <w:color w:val="auto"/>
        </w:rPr>
        <w:t>included in our 10-year capital plan. Additionally, regulators may investigate the prudence of costs in our rates and examine, among other things, the reasonableness or prudence of our level of expenditures (including costs associated with our capital projects). If we do not execute or complete our capital projects, including those within our 10-year capital plan, in accordance with current expectations or if our capital plan does not produce the desired results, our business, financial condition, results of operations and cash flows could be materially affected.</w:t>
      </w:r>
    </w:p>
    <w:p>
      <w:pPr>
        <w:spacing w:after="0" w:line="155" w:lineRule="exact"/>
        <w:rPr>
          <w:sz w:val="20"/>
          <w:szCs w:val="20"/>
          <w:color w:val="auto"/>
        </w:rPr>
      </w:pPr>
    </w:p>
    <w:p>
      <w:pPr>
        <w:ind w:right="8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project siting, financing, construction, permitting, governmental approvals, public opposition, and the negotiation of project development agreements that may impede our development and operating activities.</w:t>
      </w:r>
    </w:p>
    <w:p>
      <w:pPr>
        <w:spacing w:after="0" w:line="143"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4"/>
          <w:szCs w:val="14"/>
          <w:color w:val="auto"/>
        </w:rPr>
        <w:t>Houston Electric, Indiana Electric and CERC own, develop, construct, manage and operate electric transmission, distribution and generation facilities or natural gas distribution facilities, as applicable. A key component of our growth is our ability to construct and operate these facilities. As part of these operations, we must periodically apply for licenses and permits from various local, state, federal and other regulatory authorities and abide by their respective conditions. We have previously experienced delays in receiving approval with regards to certain permits and licenses, and have had investigations and enforcement actions with regards to certain of our projects, which have caused delays to our projects in the past. Our projects, such as in the case of Houston Electric’s proposed 765 kV and other transmission projects, have faced and may in the future face opposition from individuals, community organizations, environmental and other activist groups, and other public-interest entities. In the future, these approvals may not be granted in a timely manner (including due to potential staffing issues at U.S. regulatory agencies) or at all or may be modified, rescinded or fail to be extended for a variety of reasons, including due to legal or regulatory changes or political, public and community relations pressure. Should we in the future be unsuccessful in obtaining necessary licenses or permits on acceptable terms or resolving third-party challenges to such licenses or permits, should there be a delay in obtaining or renewing necessary licenses or permits, or should regulatory authorities initiate any associated investigations or enforcement actions or impose related penalties or disallowances, our future net income and cash flows could be reduced and our business, financial condition and results of operations could be impacted. Any failure to negotiate successful project development agreements for new facilities with third parties could also have adverse effects.</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are involved in numerous legal proceedings, the outcomes of which are uncertain, and resolutions adverse to us could negatively affect our financial results.</w:t>
      </w:r>
    </w:p>
    <w:p>
      <w:pPr>
        <w:spacing w:after="0" w:line="20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The Registrants are subject to numerous legal proceedings, including lawsuits and environmental matters in addition to regulatory proceedings, the most significant of which are summarized in Note 14 to the consolidated financial statements. Litigation is subject to many uncertainties; recent trends have shown jury verdicts, settlements and other liability have been significantly increasing; and the Registrants cannot predict the outcome of all matters with assurance. Additionally, under some circumstances, the Registrants could potentially have claims filed against them or incur liabilities associated with assets and businesses no longer owned by them as a result of sales, divestitures or other transfers to third parties who may be unable to fulfill their indemnity obligations to the Registrants. Final resolution of these matters, or any potential future claims or liabilities, may require additional expenditures over an extended period of time that may be in excess of established insurance or reserves and may have an adverse effect on the Registrants’ businesses, financial condition, results of operations and cash flows. For further information, see “— Our insurance coverage may not...”</w:t>
      </w:r>
    </w:p>
    <w:p>
      <w:pPr>
        <w:spacing w:after="0" w:line="155" w:lineRule="exact"/>
        <w:rPr>
          <w:sz w:val="20"/>
          <w:szCs w:val="20"/>
          <w:color w:val="auto"/>
        </w:rPr>
      </w:pPr>
    </w:p>
    <w:p>
      <w:pPr>
        <w:ind w:right="20" w:firstLine="127"/>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Customers’, investors’, legislators’, regulators’, creditors’, rating agencies’ and other stakeholders’ opinions of us are affected by many factors, including actual or perceived system reliability and safety, the speed of our response to service interruptions, rates and customer affordability, our ability to successfully execute our capital plan, media coverage and actions by third parties, and negative opinions developed by such stakeholders could harm our reputation and have an adverse impact on our business, financial condition, results of operations and cash flows.</w:t>
      </w:r>
    </w:p>
    <w:p>
      <w:pPr>
        <w:spacing w:after="0" w:line="168"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results are influenced by the expectations of our customers, investors, legislators, regulators, creditors, rating agencies and other stakeholders. Those expectations are based, in part, on the actual or perceived reliability, safety and affordability of our utility services. Our actual or perceived ability to prevent, mitigate, prepare for and timely respond to electric outages, natural gas leaks or events and related accidents and similar interruptions caused by severe weather, physical or cybersecurity incidents or other unanticipated events, as well as our own or third parties’ actions or failure to act, can affect customer, regulator and legislator satisfaction or potentially subject us to regulatory action and litigation. For example, CenterPoint Energy, CenterPoint Energy Service Company, LLC and Houston Electric are subject to litigation and claims arising out of Hurricane Beryl and various federal, state and local governmental and regulatory agencies and other entities called for or conducted inquiries and investigations into Hurricane Beryl and the efforts made by Houston Electric to prepare for, and respond to, this event, including the associated electric service outage issues. Ongoing and future inquiries, investigations and proposed legislation regarding Hurricane Beryl could adversely affect our business, financial condition, results of operations and cash flows, including with respect to our recovery of costs incurred as a result of Hurricane Beryl or future severe weather events; the assessment of financial penalties; changes to Houston Electric’s system, service territories, operations and/or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38" w:name="page39"/>
    <w:bookmarkEnd w:id="38"/>
    <w:p>
      <w:pPr>
        <w:spacing w:after="0" w:line="256" w:lineRule="auto"/>
        <w:rPr>
          <w:sz w:val="20"/>
          <w:szCs w:val="20"/>
          <w:color w:val="auto"/>
        </w:rPr>
      </w:pPr>
      <w:r>
        <w:rPr>
          <w:rFonts w:ascii="Times New Roman" w:cs="Times New Roman" w:eastAsia="Times New Roman" w:hAnsi="Times New Roman"/>
          <w:sz w:val="14"/>
          <w:szCs w:val="14"/>
          <w:color w:val="auto"/>
        </w:rPr>
        <w:t>regulatory treatment; and the viability for Houston Electric to continue leasing TEEEF. The level of rates and actual or perceived affordability of our services, the timing and magnitude of rate increases, and the volatility of rates can also affect the opinions of customers, legislators, regulators and other political figures of us. For example, in 2025, the Governor of Indiana directed the commissioner of the OUCC to evaluate utilities’ profits and find cost-saving measures to ease the financial burden on customers. Our ability to successfully execute our capital plan may also affect customers’, investors’, legislators’, regulators’, creditors’, rating agencies’ and other stakeholders’ opinions and actions. Opinions of us can additionally be affected by media coverage, including social media, which may include information, whether factual or not, that damages our brand and reputation. Our efforts to secure permits and/or acquire land and easements (including through eminent domain) for infrastructure investments, including with respect to Houston Electric’s proposed 765 kV and other transmission projects, as well as execute on and/or obtain regulatory approvals for transmission, generation and other facilities can also affect opinions of us. We are also subject to adverse publicity related to actual or perceived environmental practices or impacts, including in relation to climate change and our ability to timely achieve our energy transition goals, as well as negative opinions regarding the appropriateness of our climate-related goals. If customers, investors, legislators, regulators, creditors, rating agencies or other stakeholders have or develop a negative opinion of us or our utility services, this could result in, among other things, less favorable legislative and regulatory outcomes (including but not limited to failure to obtain requested approvals on capital investments) or increased regulatory oversight, negative effects on our access to, and the cost of, capital, project delays or cancellations, increased litigation and negative public perception. The foregoing may harm our reputation and have adverse effects on our business, financial condition, results of operations and cash flows.</w:t>
      </w:r>
    </w:p>
    <w:p>
      <w:pPr>
        <w:spacing w:after="0" w:line="187" w:lineRule="exact"/>
        <w:rPr>
          <w:sz w:val="20"/>
          <w:szCs w:val="20"/>
          <w:color w:val="auto"/>
        </w:rPr>
      </w:pPr>
    </w:p>
    <w:p>
      <w:pPr>
        <w:ind w:right="220" w:firstLine="127"/>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operational and financial risks and liabilities arising from environmental laws and regulations, including regulation of CCR, climate change legislation and certain local initiatives that seek to limit fossil fuel usage.</w:t>
      </w:r>
    </w:p>
    <w:p>
      <w:pPr>
        <w:spacing w:after="0" w:line="154"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Our operations are subject to stringent and complex laws and regulations pertaining to the environment. As an owner or operator of natural gas pipelines, distribution systems and storage, electric generating facilities and electric transmission and distribution systems, and the facilities that support these systems, we must comply with these laws and regulations at the federal, state and local levels. These laws and regulations can restrict or impact our business activities in many ways, including among others, restricting the use of fossil fuels through future climate legislation or regulation, restricting the use of natural gas-fired appliances in new homes, limiting airborne emissions from generating facilities, restricting the way we manage wastes, including wastewater discharges, air emissions and CCR removal, and requiring remedial action or monitoring to mitigate environmental actions caused by our operations or attributable to former operations. Environmental laws and regulations applicable to our operations are complex and subject to continued uncertainty, and we are subject to risks from changing or conflicting interpretations of existing laws, modifications to existing laws, new laws, and new or modified permit terms. We may need to spend substantial amounts and devote other resources from time to time to comply with these requirements. Further, in the course of operations we have released, and may in the future inadvertently release, various contaminants. Any such releases could have a significant impact on the environment and result in significant fines. Failure to comply with applicable environmental laws and regulations may trigger a variety of administrative, civil and criminal enforcement measures, including measures taken by individuals and non-governmental organizations seeking to enforce environmental laws against us or allege a failure to comply with such laws, and could lead to the assessment of monetary penalties, which we have been subject to from time to time, revocation of permits, the imposition of remedial actions, and the issuance of orders enjoining future operations. Certain environmental statutes impose strict joint and several liability for costs required to clean, restore and monitor sites where hazardous substances have been stored, disposed or released. Moreover, it is not uncommon for neighboring landowners and other third parties to file claims for personal injury and property damage allegedly caused by the release of hazardous substances or other waste products into the environment.</w:t>
      </w:r>
    </w:p>
    <w:p>
      <w:pPr>
        <w:spacing w:after="0" w:line="344"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Regulatory agencies have also adopted, and from time to time consider adopting, new legislation and/or modifying existing laws and regulations to reduce GHGs. There continues to be a wide-ranging policy and regulatory debate, at the state level, nationally and internationally, regarding the possible means for their regulation. Although the United States withdrew from the Paris Agreement in 2026, and more recently the United Nations Framework Convention on Climate Change, and the current federal administration has revised and is expected to further revise compliance requirements under a number of federal environmental regulatory programs, many states and localities continue to pursue their own climate policies, and differences in energy policy priorities adopted by future federal administrations could result in additional GHG reduction requirements in the United States. As a distributor and transporter of natural gas and electricity, and a generator of electricity in Indiana, the Registrants’ revenues, operating costs and capital requirements could be adversely affected as a result of any regulatory action that would require installation of new control technologies or a modification of their operations or that would have the effect of reducing the consumption of natural gas or electricity or prevent the use of certain fuel types. There can be no assurance as to the amount or timing of future expenditures for environmental compliance or remediation, and actual future expenditures may be greater than the amounts we currently anticipate, which could adversely affect our business, financial condition, results of operations and cash flows. Likewise, incentives to conserve energy or use energy sources other than natural gas could result in a</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decrease in demand for our services. For further discussion, see “Business—Environmental Matters” in Item 1 and “ —Our natural gas businesses must compete with…”</w:t>
      </w:r>
    </w:p>
    <w:p>
      <w:pPr>
        <w:spacing w:after="0" w:line="200"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Evolving investor sentiment related to the use of fossil fuels and initiatives to restrict continued production of fossil fuels may have substantial impacts on our electric generation and natural gas businesses. For example, because Indiana Electric currently relies on coal for a portion of its generation capacity, certain financial institutions may choose not to participate in CenterPoint Energy’s financing arrangements until future coal generation closures satisfy their thresholds for investments. Further, some investors choose to not invest in CenterPoint Energy due to CenterPoint Energy’s and CERC’s use of fossil fuels. Also, certain cities in CenterPoint Energy’s and CERC’s operational footprint have discussed the adoption of initiatives to prohibit the construction of new natural gas facilities that would provide service and focus on electrification. For example, Minneapolis has adopted carbon emission reduction goals in an effort to decrease reliance on fossil natural gas. Certain state and local governments have also passed, or are considering, legislation banning the use of natural gas-fired appliances in new homes, which could affect consumer use of natural gas. Should such bans be enacted within CenterPoint Energy’s and CERC’s operational footprint, they could adversely affect consumer demand for natural gas. Any such initiatives and legislation could adversely affect CenterPoint Energy’s and CERC’s businesses, financial condition, results of operations and cash flows.</w:t>
      </w:r>
    </w:p>
    <w:p>
      <w:pPr>
        <w:spacing w:after="0" w:line="170"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4"/>
          <w:szCs w:val="14"/>
          <w:color w:val="auto"/>
        </w:rPr>
        <w:t>Further, certain investors, lenders, regulators and other stakeholders are focusing on issues related to environmental justice, which may result in increased scrutiny of our applicable regulatory processes and additional costs of compliance or may adversely affect our reputation. While President Trump in 2025 signed an executive order calling to terminate all environmental justice offices and positions in the federal government, as well as any environmental justice initiatives, programs or other activities, the focus on environmental justice matters by certain stakeholders may nevertheless provide communities opposed to our operations with greater opportunities to challenge or delay our projects. Opposition to our projects or successful challenges or appeals to permits issued for our projects could result in cancellation of such projects and the loss of investments we have made with respect thereto.</w:t>
      </w:r>
    </w:p>
    <w:p>
      <w:pPr>
        <w:spacing w:after="0" w:line="162" w:lineRule="exact"/>
        <w:rPr>
          <w:sz w:val="20"/>
          <w:szCs w:val="20"/>
          <w:color w:val="auto"/>
        </w:rPr>
      </w:pPr>
    </w:p>
    <w:p>
      <w:pPr>
        <w:ind w:right="28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CenterPoint Energy is subject to operational, financial and other risks and potential liabilities associated with our sustainability and related activities, including the implementation of and efforts to achieve our energy transition goals.</w:t>
      </w:r>
    </w:p>
    <w:p>
      <w:pPr>
        <w:spacing w:after="0" w:line="14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CenterPoint Energy has adopted energy transition goals and its analysis and plans for execution require it to make a number of assumptions. These goals and underlying assumptions involve risks and uncertainties and are not guarantees, and our ability to achieve these goals will ultimately be driven by the needs of our business, the needs and desires of the customers, jurisdictions and other stakeholders we serve and our performance for our shareholders. In addition, forecasting is inherently speculative and the trajectory of the greater energy transition is uncertain. Should one or more of CenterPoint Energy’s underlying assumptions require updating, our actual results and ability to make progress towards and achieve our energy transition goals and the timing thereof could differ materially from its expectations, and CenterPoint Energy may elect to modify or update such goals. Further, there can be no guarantee that CenterPoint Energy will sustain or achieve these goals. Certain of the assumptions that could impact CenterPoint Energy’s ability to meet our energy transition goals and the timing thereof include, but are not limited to: GHG emission levels, service territory size, capacity needs and customer demand remaining in line with CenterPoint Energy’s expectations when such goals were announced, including with respect to demand for our services and in relation to the recent sale of CenterPoint Energy’s Louisiana and Mississippi natural gas LDC businesses and the announced sale of CenterPoint Energy’s Ohio natural gas LDC business; the ability to appropriately estimate and effectively manage business opportunities from and maintain reliability in connection with new customers and load growth resulting from, among other things, expansion of data centers (associated with, among other things, increasing demand for AI), energy refining and exports, advanced manufacturing and logistics in our service territories; regulatory approvals related to Indiana Electric’s generation transition plan and our ability to obtain such approvals; the ability to execute anticipated divestitures, portfolio optimizations or other strategic transactions; interconnection delays in the footprints of regional transmission organizations and/or interconnection costs; cost and affordability of customer rates and related concerns; customer demand for GHG emission free or lower GHG emissions energy; impacts of regulations, legislation or other governmental action, including those related to our operation of certain generating facilities (including the U.S. Department of Energy’s December 2025 emergency 202(c) order directing Indiana Electric to continue operating F.B. Culley Unit 2 through March 23, 2026), the environment and tax (including the effects of the OBBBA, Executive Order 14315, the IRA and any further changes to or the repeal of the renewable energy tax credits enacted in the IRA); federal and state executive, legislative and regulatory actions (including regulatory uncertainty resulting from changes in federal energy policy) and support for certain types of generation; impacts of future carbon pricing regulation or legislation, including a future carbon tax; price, availability and regulation of carbon offsets; price of fuel, such as natural gas; cost and technological development/innovation, adoption and commercialization of energy generation technologies, such as wind and solar, natural gas and storage solutions, and alternative energy, including electric vehicles; our ability to implement our modernization plans for pipelines and facilities; the ability to complete and timely implement and maintain system reliability during and after transitioning to generation alternatives to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0" w:name="page41"/>
    <w:bookmarkEnd w:id="40"/>
    <w:p>
      <w:pPr>
        <w:ind w:right="40"/>
        <w:spacing w:after="0" w:line="264" w:lineRule="auto"/>
        <w:rPr>
          <w:sz w:val="20"/>
          <w:szCs w:val="20"/>
          <w:color w:val="auto"/>
        </w:rPr>
      </w:pPr>
      <w:r>
        <w:rPr>
          <w:rFonts w:ascii="Times New Roman" w:cs="Times New Roman" w:eastAsia="Times New Roman" w:hAnsi="Times New Roman"/>
          <w:sz w:val="14"/>
          <w:szCs w:val="14"/>
          <w:color w:val="auto"/>
        </w:rPr>
        <w:t>Indiana Electric’s coal generation; execution of the retirement or fuel conversion of Indiana Electric’s coal facilities on anticipated timelines or at all; the ability to construct and/or permit new natural gas pipelines; the ability to procure resources needed to build at a reasonable cost, the lack of or scarcity of resources and labor, any project cancellations, construction delays or overruns (including as a result of changes in U.S. or foreign trade policies) and the ability to appropriately estimate costs of new generation; impact of any supply chain disruptions; changes in applicable standards, metrics, methodologies or frameworks; and enhancement of energy efficiencies.</w:t>
      </w:r>
    </w:p>
    <w:p>
      <w:pPr>
        <w:spacing w:after="0" w:line="16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Our businesses have in the past and may in the future face increased scrutiny from investors, governmental authorities and other stakeholders related to our sustainability practices, including our human capital management activities, as well as the goals, targets, and objectives we announce, our methodologies and timelines for pursuing them, our progress towards achieving them and related disclosures. We could also face challenges with managing conflicting requirements and our various stakeholders’ expectations. We may be unable to satisfy all of our stakeholders, and to the extent our sustainability practices (including our human capital management activities) do not align with investor or other stakeholder expectations and standards, which continue to evolve, vary, and sometimes conflict, our businesses, including our reputation, ability to attract or retain employees, and attractiveness as an investment or business partner could be negatively affected and we could be exposed to enforcement actions and litigation. Similarly, our failure or perceived failure to pursue, fulfill or demonstrate meaningful progress towards our sustainability-focused goals, targets and objectives, to comply with or otherwise meet ethical, environmental or other standards, regulations or expectations, which may be varied or conflicting, or to satisfy various reporting standards with respect to these matters (including if there are real or perceived inaccuracies in the data and information we report or if we are exposed to allegations that certain public statements regarding sustainability-related matters are false and misleading “greenwashing” campaigns), within the timelines we announce, or at all, could adversely affect our business or reputation, as well as expose us to government enforcement actions and litigation.</w:t>
      </w:r>
    </w:p>
    <w:p>
      <w:pPr>
        <w:spacing w:after="0" w:line="171"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Developing and implementing plans for compliance with voluntary climate commitments can lead to additional capital, personnel and operation and maintenance expenditures and could significantly affect the economic position of existing facilities and proposed projects. To the extent that we believe any of these costs are recoverable in rates, cost recovery could be resisted by our regulators and the public, and our regulators might attempt to deny or defer timely recovery of these costs. Moreover, we cannot predict the ultimate impact of achieving our emissions reduction goals, or the various implementation aspects, on our system reliability or our business, financial condition, results of operations and cash flows.</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extensive regulation, which could result in higher costs for system improvements, as well as fines or other sanctions.</w:t>
      </w:r>
    </w:p>
    <w:p>
      <w:pPr>
        <w:spacing w:after="0" w:line="20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In the planning and management of our operations, we must address existing and proposed laws and regulations regarding safety, reliability and other matters, as well as potential changes in regulatory frameworks, including reinterpretation of such regulations, initiatives by federal and state legislatures, regional transmission organizations (e.g., ERCOT and MISO), utility regulators, and taxing authorities, and actions by local jurisdictions regarding such matters. As has occurred in the past, if it were determined that we failed to comply with applicable laws and regulations or with applicable tariff provisions regarding such matters, we could become subject to fines, penalties, refund or disgorgement orders, or disallowed costs, or be required to implement additional compliance or remediation programs, the cost of which could be material. We cannot predict the impact of new laws, rules, regulations, tariffs, principles, or practices by federal or state agencies or regional transmission operators, or challenges or changes to present laws, rules, regulations, tariffs, principles, or practices and the interpretation of any adoption or change. Significant changes in the nature of the regulation of our businesses, including expiration or discontinuation of, or significant changes to, existing regulatory mechanisms, and the current federal administration’s approach to U.S. energy policy and resultant changes in regulatory enforcement priorities, and/or evolving interpretations of existing regulatory requirements, could require changes to our business planning, strategy and management of our businesses and could adversely affect our business, financial condition, results of operations and cash flows.</w:t>
      </w:r>
    </w:p>
    <w:p>
      <w:pPr>
        <w:spacing w:after="0" w:line="167"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Houston Electric and Indiana Electric are members of ERCOT and MISO, respectively, which serve the electric transmission needs of their applicable regions. As a result of their respective participation in ERCOT and MISO, Houston Electric and Indiana Electric do not have sole operational control over their transmission facilities and are subject to certain costs for improvements to these regional electric transmission systems. In addition, FERC has jurisdiction with respect to ensuring the reliability of electric transmission service, including transmission facilities owned by Houston Electric and other utilities within ERCOT and Indiana Electric and other utilities within MISO, respectively. FERC has designated NERC as the ERO to promulgate standards, under FERC oversight, for all owners, operators and users of the bulk power system. FERC has approved the delegation by NERC of authority for reliability in ERCOT to the Texas RE, a Texas non-profit corporation, and for reliability in the portion of MISO that includes Indiana Electric to Reliability First Corporation, a Delaware non-profit corporation. Compliance with mandatory reliability standards may subject Houston Electric and Indiana Electric to higher operating costs and may result in increased capital expenditures, which may not be fully recoverable in rates. Houston Electric</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1" w:name="page42"/>
    <w:bookmarkEnd w:id="41"/>
    <w:p>
      <w:pPr>
        <w:spacing w:after="0" w:line="270" w:lineRule="auto"/>
        <w:rPr>
          <w:sz w:val="20"/>
          <w:szCs w:val="20"/>
          <w:color w:val="auto"/>
        </w:rPr>
      </w:pPr>
      <w:r>
        <w:rPr>
          <w:rFonts w:ascii="Times New Roman" w:cs="Times New Roman" w:eastAsia="Times New Roman" w:hAnsi="Times New Roman"/>
          <w:sz w:val="14"/>
          <w:szCs w:val="14"/>
          <w:color w:val="auto"/>
        </w:rPr>
        <w:t>and Indiana Electric have received fines in the past for noncompliance. If Houston Electric or Indiana Electric were to be found to be in noncompliance with applicable mandatory reliability standards again, they would be subject to additional sanctions, including monetary penalties, which could range as high as over a million dollars per violation per day, and non-monetary penalties, such as having to file a mitigation plan to prevent recurrence of a similar violation and having certain milestones in such plan tracked.</w:t>
      </w:r>
    </w:p>
    <w:p>
      <w:pPr>
        <w:spacing w:after="0" w:line="157"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4"/>
          <w:szCs w:val="14"/>
          <w:color w:val="auto"/>
        </w:rPr>
        <w:t>Additionally, compliance with existing and potential new regulations related to CERC’s operation and maintenance of natural gas infrastructure could result in significant costs. PHMSA is responsible for administering the DOT’s national regulatory program to assure the safe transportation of natural gas, petroleum and other hazardous materials by pipelines. PHMSA continues to develop regulations and other approaches to risk management to assure safety in design, construction, testing, operation, maintenance and emergency response of natural gas pipeline infrastructure. We have programs in place to comply with regulations related to CERC’s operation and maintenance of natural gas infrastructure, such as leak detection surveys and corrosion and critical valve inspections, and we systematically monitor and renew infrastructure over time; however, CERC has failed to maintain compliance with applicable regulations in the past and has received fines for past noncompliance. A significant incident or material finding of non-compliance in the future could result in enforcement action, penalties, higher costs of operations and adverse impacts on our regulatory proceedings, any of which could have an adverse effect on our business, financial condition, results of operations and cash flows.</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Our businesses may be adversely affected by the intentional misconduct of our employees, consultants, contractors, suppliers and vendors.</w:t>
      </w:r>
    </w:p>
    <w:p>
      <w:pPr>
        <w:spacing w:after="0" w:line="20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are committed to living our core values of safety, integrity, accountability, initiative and respect and complying with all applicable laws and regulations. Despite that commitment and efforts to prevent misconduct, it is possible for employees, consultants, contractors, suppliers and vendors to engage in intentional misconduct, fail to uphold our core values, and violate laws and regulations for individual gain through contract or procurement fraud, misappropriation, bribery or corruption, fraudulent related-party transactions and serious breaches of our Ethics and Compliance Codes and other policies. If such intentional misconduct by employees, consultants, contractors, suppliers and vendors should occur, it could result in substantial liability, higher costs, increased regulatory scrutiny and negative public perceptions, any of which could have an adverse effect on our business, financial condition, results of operations and cash flows. From time to time, including as part of our Ethics and Compliance program’s efforts to detect misconduct, we become aware of and expect to continue to become aware of instances of misconduct by employees, consultants, contractors, suppliers and vendors, which we investigate, remediate and disclose as appropriate and proportionate to the incident.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Affecting Financial, Economic and Market Risks</w:t>
      </w:r>
    </w:p>
    <w:p>
      <w:pPr>
        <w:spacing w:after="0" w:line="189" w:lineRule="exact"/>
        <w:rPr>
          <w:sz w:val="20"/>
          <w:szCs w:val="20"/>
          <w:color w:val="auto"/>
        </w:rPr>
      </w:pPr>
    </w:p>
    <w:p>
      <w:pPr>
        <w:ind w:right="20" w:firstLine="127"/>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Disruptions to the global supply chain, inflation, labor shortages and scarcity of certain materials may impact our operations, which could have an adverse impact on our ability to execute our capital plan and on our business, financial condition, results of operations and cash flows.</w:t>
      </w:r>
    </w:p>
    <w:p>
      <w:pPr>
        <w:spacing w:after="0" w:line="154"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The global supply chain has experienced and may continue to experience significant disruptions due to a multitude of factors, such as geopolitical and economic uncertainty, regulatory and policy instability, tariffs and changes in U.S. and foreign trade policy, changes in laws (including tax laws), executive orders, the COVID-19 pandemic, labor shortages, resource availability, long lead times, manufacturer production limitations, delivery delays, inflation, severe weather events and disruptions to internal or international shipping, including as a result of armed conflicts, and these disruptions have adversely impacted the utility industry. We, as well as other companies in our industry, have experienced supply chain disruptions, and we may continue to experience this in the future. Moreover, inflation and high interest rates have contributed, and may continue to contribute, to increased prices for materials and services experienced by us and other companies in our industry. We have also faced, and may continue to face, a shortage of experienced and qualified personnel in certain positions, which has resulted in increased competition for skilled labor and wage inflation. Additionally, increased demand for materials necessary for our business has resulted, and may continue to result, in greater competition for and scarcity of such materials. For example, the increase in demand for electricity across the United States has contributed to large demand increases for transformers, which has caused and may continue to cause supply shortages for transformers. Examples of materials necessary for our business that we and our industry have experienced difficulties in procuring include transformers, wires, cables, meters, poles, electronic components, steel, aluminum and solar panels. If the supply chain disruption, inflation, labor shortages and scarcity of certain materials persist or worsen, we and the third parties that we contract with may experience difficulties in procuring the resources and labor necessary to operate our businesses in a timely and cost-efficient manner or at all, which could adversely impact, among other things, our ability to perform storm restoration activities, execute on our 10-year capital plan, execute Indiana Electric’s generation transition plan and/or achieve our energy transition goals. Even if we are able to procure the necessary resources and labor, we might not be able to do so at a reasonable cost or in a timely manner, which could result in project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ind w:right="60"/>
        <w:spacing w:after="0" w:line="287" w:lineRule="auto"/>
        <w:rPr>
          <w:sz w:val="20"/>
          <w:szCs w:val="20"/>
          <w:color w:val="auto"/>
        </w:rPr>
      </w:pPr>
      <w:r>
        <w:rPr>
          <w:rFonts w:ascii="Times New Roman" w:cs="Times New Roman" w:eastAsia="Times New Roman" w:hAnsi="Times New Roman"/>
          <w:sz w:val="14"/>
          <w:szCs w:val="14"/>
          <w:color w:val="auto"/>
        </w:rPr>
        <w:t>cancellations or scope changes, delays, cost overruns, under-recovery of costs, customer affordability concerns and challenges to our ability to remain in compliance with applicable laws, regulations and policies. If we are unable to fully execute on capital plans, our business, financial condition, results of operations and cash flows may be adversely affected.</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arrange future financings on acceptable terms, our ability to finance our capital expenditures and operations or refinance outstanding indebtedness could be limited.</w:t>
      </w:r>
    </w:p>
    <w:p>
      <w:pPr>
        <w:spacing w:after="0" w:line="20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Our businesses are capital intensive, with significant and increasing capital spending expected in future periods. We rely on various sources to finance our capital expenditures and operations. For example, we depend on (i) long-term debt, (ii) borrowings through our revolving credit facilities and, for CenterPoint Energy and CERC, commercial paper programs and (iii) if market conditions permit, issuances of additional shares of common stock or shares of preferred stock by CenterPoint Energy, including through our at-the-market program. We may also use such sources to refinance any outstanding indebtedness as it matures. Additionally, from time to time, our operating subsidiaries, including Houston Electric and CERC, may rely on intercompany borrowings from CenterPoint Energy that may be sourced from CenterPoint Energy’s external financings. These arrangements could expose us to risks, including exposure to losses upon the occurrence of certain events related to the development, construction, operation or financing of applicable projects. As of December 31, 2025, CenterPoint Energy had nearly $23 billion of outstanding indebtedness on a consolidated basis, which included $714 million of non-recourse Securitization Bonds. For information on outstanding indebtedness of CenterPoint Energy, Houston Electric and CERC as well as future maturities, see Note 12 to the consolidated financial statements.</w:t>
      </w:r>
    </w:p>
    <w:p>
      <w:pPr>
        <w:spacing w:after="0" w:line="170"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In addition, external sources of capital may not be adequate or available on reasonable terms. If we are unable to arrange future financings on acceptable terms, our ability to finance our operations and capital expenditures, including our 10-year capital plan announced in 2025 and increased in February 2026 (through which CenterPoint Energy plans to invest at least $65.5 billion through 2035), or refinance our outstanding indebtedness could be limited. Any of these outcomes could have a material adverse effect on our business, financial condition, results of operations and cash flows. Our future financing activities may be significantly affected by, among other things:</w:t>
      </w:r>
    </w:p>
    <w:p>
      <w:pPr>
        <w:spacing w:after="0" w:line="162"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capital market conditions, including inflation and recession;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availability from financial institutions and other lenders;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us, our regulatory environment, our industry and the markets in which we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performance of our businesses;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acceptable credit ratings;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from the Federal Reserve, including changes in interest rates and unanticipated actions;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expectations regarding our future earnings and cash flows;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willingness to invest in companies associated with fossil fuels;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access capital markets on reasonable terms;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payments or decreased credit lines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adequacy of future cost recovery, including securitizations, by jurisdictions in which we operate;</w:t>
      </w:r>
    </w:p>
    <w:p>
      <w:pPr>
        <w:spacing w:after="0" w:line="8" w:lineRule="exact"/>
        <w:rPr>
          <w:rFonts w:ascii="Times New Roman" w:cs="Times New Roman" w:eastAsia="Times New Roman" w:hAnsi="Times New Roman"/>
          <w:sz w:val="14"/>
          <w:szCs w:val="14"/>
          <w:color w:val="auto"/>
        </w:rPr>
      </w:pPr>
    </w:p>
    <w:p>
      <w:pPr>
        <w:ind w:left="520" w:right="2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 governmental policy (including tax and trade policy, such as tariffs) or governmental programs (including tax incentives or tax credits, loans, grants, guarantees and other subsidies); and</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relevant securities laws and our ability to obtain required regulatory authorization for issuances of securities.</w:t>
      </w:r>
    </w:p>
    <w:p>
      <w:pPr>
        <w:spacing w:after="0" w:line="185"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The Registrants’ current credit ratings and any changes in credit ratings in 2025 and to date in 2026 are discussed in “Management’s Discussion and Analysis of Financial Condition and Results of Operations — Liquidity and Capital Resources — Other Matters — Impact on Liquidity of a Downgrade in Credit Ratings” in Item 7 of Part II of this report. These credit ratings may not remain in effect for any given period of time and one or more of these ratings may be reduced or withdrawn by a rating agency. The Registrants note these credit ratings are not recommendations to buy, sell or hold their securities. Each rating should be evaluated independently of any other rating. Any future reduction or withdrawal of one or more of the Registrants’ credit ratings could have an adverse impact on their ability to access capital on acceptable terms. For example, if CERC’s credit rating were to decline, it may have an adverse impact on the cost of borrowings and, in extraordinary market conditions, it may limit the ability to access the debt capital markets. Additionally, CERC might be required to post collateral under its shipping arrangements or to purchase natural gas. If a credit rating downgrade and the resultant cash collateral requirement were to occur at a time when CERC was experiencing significant working capital requirements or otherwise lacked liquidity, CERC’s business, financial condition, results of operations and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3" w:name="page44"/>
    <w:bookmarkEnd w:id="43"/>
    <w:p>
      <w:pPr>
        <w:ind w:right="46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U.S. or foreign trade policies, including the imposition of tariffs and other trade actions, and other factors beyond our control may adversely impact our business, financial condition, results of operations and cash flows.</w:t>
      </w:r>
    </w:p>
    <w:p>
      <w:pPr>
        <w:spacing w:after="0" w:line="112" w:lineRule="exact"/>
        <w:rPr>
          <w:sz w:val="20"/>
          <w:szCs w:val="20"/>
          <w:color w:val="auto"/>
        </w:rPr>
      </w:pPr>
    </w:p>
    <w:p>
      <w:pPr>
        <w:ind w:firstLine="255"/>
        <w:spacing w:after="0" w:line="174" w:lineRule="exact"/>
        <w:rPr>
          <w:sz w:val="20"/>
          <w:szCs w:val="20"/>
          <w:color w:val="auto"/>
        </w:rPr>
      </w:pPr>
      <w:r>
        <w:rPr>
          <w:rFonts w:ascii="Times New Roman" w:cs="Times New Roman" w:eastAsia="Times New Roman" w:hAnsi="Times New Roman"/>
          <w:sz w:val="14"/>
          <w:szCs w:val="14"/>
          <w:color w:val="auto"/>
        </w:rPr>
        <w:t>The U.S. government has taken executive action and proposed additional measures intended to alter the U.S. approach to international trade policy, the terms of certain existing bilateral or multi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lateral trade agreements and trading arrangements with foreign countries. Such changes to U.S. international trade policy, and retaliatory trade measures that foreign governments have taken and may take in the future in response, including the imposition of tariffs, bans, sanctions, export or import controls, or other measures that restrict international trade, or the threat of such actions, and uncertainties about tariffs and their effects on trading relationships, may affect, and in some cases have affected, the Registrants’ ability to access the capital markets, contribute to inflation in the markets in which the Registrants operate, increase costs and cost volatility, impact availability of goods, materials and services (including those necessary for our business and capital plan), further extend lead times or otherwise negatively impact the global supply chain. While the U.S. government has announced various trade deals, many such agreements are preliminary and may be subject to change. Further, any future disagreement between the U.S. government and other countries over the implementation of trade deals or any failure to obtain required governmental approvals or otherwise reach a final agreement could result in prolonged uncertainty regarding the scope and duration of such trade actions by the U.S. government and other countries. Such announcements, rescissions of tariffs on foreign jurisdictions and other trade actions have increased uncertainty regarding the ultimate effects of the tariffs on economic conditions. In addition, related geopolitical and domestic political developments, such as existing and potential trade wars, uncertainty regarding changes in trade policy and other events beyond our control, have increased and may continue to increase levels of political and economic unpredictability globally and the volatility of global financial markets. Such developments could adversely affect our business, financial condition, results of operations and cash flows.</w:t>
      </w:r>
    </w:p>
    <w:p>
      <w:pPr>
        <w:spacing w:after="0" w:line="181" w:lineRule="exact"/>
        <w:rPr>
          <w:sz w:val="20"/>
          <w:szCs w:val="20"/>
          <w:color w:val="auto"/>
        </w:rPr>
      </w:pPr>
    </w:p>
    <w:p>
      <w:pPr>
        <w:ind w:right="120" w:firstLine="127"/>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CenterPoint Energy is a holding company that derives all of its operating income from, and holds substantially all of its assets through, its subsidiaries. As a result, CenterPoint Energy depends on the performance of and distributions from its subsidiaries to meet its payment obligations and to pay dividends on its common stock, and provisions of applicable law or contractual restrictions could limit the amount of those distributions.</w:t>
      </w:r>
    </w:p>
    <w:p>
      <w:pPr>
        <w:spacing w:after="0" w:line="15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CenterPoint Energy derives all of its operating income from, and holds substantially all of its assets through, its subsidiaries. Similarly, CERC derives a significant portion of its operating income from and holds a significant portion of its assets through its subsidiaries, including Indiana Gas and CEOH. As a result, CenterPoint Energy, and to a lesser extent, CERC, depend on the performance of and distributions from their respective subsidiaries to meet their respective payment obligations and to pay dividends on their respective common stock. In general, CenterPoint Energy’s and CERC’s subsidiaries are separate and distinct legal entities and have no obligation to provide them with funds for their respective payment obligations, whether by dividends, distributions, loans or otherwise. In addition, provisions of applicable law, such as those limiting the legal sources of dividends, limit CenterPoint Energy’s and CERC’s respective subsidiaries’ ability to make payments or other distributions to CenterPoint Energy or CERC, and their respective subsidiaries could agree to contractual restrictions on their ability to make payments or other distributions. Further, ring-fencing measures, such as those adopted by Houston Electric in connection with its 2019 base rate case, could be imposed on subsidiaries of CenterPoint Energy and CERC in the future through legislation or state commission rules or orders. The imposition of any additional measures impacting CenterPoint Energy’s or CERC’s ability to receive dividends from their respective subsidiaries could adversely affect CenterPoint Energy’s credit quality, business, financial condition, results of operations and cash flows. Any such adverse effect on CenterPoint Energy could also adversely affect Houston Electric’s and/or CERC’s credit quality, business, financial condition, results of operations and cash flows as CenterPoint Energy may not be able to financially support Houston Electric and/or CERC if and when necessary.</w:t>
      </w: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CenterPoint Energy’s right to receive assets of any subsidiary, and therefore the right of its creditors to participate in those assets, are structurally subordinated to the claims of that subsidiary’s creditors, including trade creditors. In addition, even if CenterPoint Energy were a creditor of any subsidiary, its rights as a creditor would likely be effectively subordinated to any security interest in the assets of that subsidiary and any senior indebtedness of the subsidiary.</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CenterPoint Energy’s previously owned Energy Systems Group business has performance and warranty obligations, some of which are guaranteed by CenterPoint Energy.</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June 30, 2023, CenterPoint Energy closed the sale of its Energy Systems Group business. Prior to June 30, 2023 and as part of the normal course of its business, Energy Systems Group issued performance bonds and other forms of assurance that committed it to operate facilities, pay vendors or subcontractors and support warranty obligations. As the parent company prior to the closing of the sale, CenterPoint Energy or Vectren guaranteed certain of its subsidiaries’ commitments. When Energy Systems Group was wholly owned by CenterPoint Energy, these guarantees did not represent incremental consolidated obligations, but rather, these guarantees represented guarantees of Energy Systems Group’s obligations to allow it to conduct business without posting other forms of assurance. Neither CenterPoint Energy nor Vectren has been called upon to satisfy 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obligations pursuant to these parental guarantees to date but may be required to do so in the future. For further information, see Note 14(b)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An impairment of goodwill, long-lived assets or equity method investments or a fair value adjustment could reduce our earnings.</w:t>
      </w:r>
    </w:p>
    <w:p>
      <w:pPr>
        <w:spacing w:after="0" w:line="20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Long-lived assets are reviewed for impairment whenever events or changes in circumstances indicate the carrying value may not be recoverable. Goodwill is tested for impairment at least annually, as well as when events or changes in circumstances indicates the carrying value may not be recoverable. While CenterPoint Energy has identified and recorded goodwill impairments in the past, no impairments to goodwill were recorded during the years ended December 31, 2025, 2024, and 2023. See Note 6 to the consolidated financial statements for further information. Should the annual goodwill impairment test or another periodic impairment test or an observable transaction indicate the fair value of our assets is less than the carrying value, we would be required to take a non-cash charge to earnings with a correlative effect on equity, increasing balance sheet leverage as measured by debt to total capitalization. A non-cash impairment charge or fair value adjustment could adversely impact our business, financial condition, results of operations and cash flows.</w:t>
      </w:r>
    </w:p>
    <w:p>
      <w:pPr>
        <w:spacing w:after="0" w:line="165" w:lineRule="exact"/>
        <w:rPr>
          <w:sz w:val="20"/>
          <w:szCs w:val="20"/>
          <w:color w:val="auto"/>
        </w:rPr>
      </w:pPr>
    </w:p>
    <w:p>
      <w:pPr>
        <w:ind w:right="26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CenterPoint Energy redeems the ZENS prior to their maturity in 2029, its ultimate tax liability and redemption payments may result in significant cash payments, which would adversely impact its cash flows and liquidity. Similarly, a significant amount of exchanges of ZENS by ZENS holders could adversely impact CenterPoint Energy’s cash flows and liquidity.</w:t>
      </w:r>
    </w:p>
    <w:p>
      <w:pPr>
        <w:spacing w:after="0" w:line="14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CenterPoint Energy has approximately $828 million principal amount of ZENS outstanding as of December 31, 2025. CenterPoint Energy owns shares of ZENS-Related Securities equal to approximately 100% of the reference shares used to calculate its obligation to the holders of the ZENS. CenterPoint Energy may redeem all of the ZENS at any time at a redemption amount per ZENS equal to the higher of the contingent principal amount of less than $0.1 million in the aggregate, or less than $0.01 per ZENS, as of December 31, 2025, or the sum of the current market value of the reference shares attributable to one ZENS at the time of redemption. In the event CenterPoint Energy redeems the ZENS, in addition to the redemption amount, it would be required to pay deferred taxes related to the ZENS, to the extent such taxes were not currently offset by net operating loss carryforwards or CAMT carryforwards. CenterPoint Energy’s ultimate tax liability related to the ZENS and ZENS-Related Securities continues to increase by the amount of the tax benefit realized each year. If the ZENS had been redeemed on December 31, 2025, deferred taxes of approximately $897 million would have been payable in 2025, based on 2025 tax rates in effect, and disregarding the availability of net operating loss carryforwards and CAMT carryforwards. In addition, if all the shares of ZENS-Related Securities had been sold on December 31, 2025 to fund the aggregate redemption amount, capital gains taxes of approximately $72 million would have been payable in 2025, disregarding the availability of net operating loss carryforwards and CAMT carryforwards. As of December 31, 2025, CenterPoint Energy had both net operating loss carryforwards and CAMT carryforwards available from its filed 2024 federal income tax return that can be applied to largely offset the cash tax outflow that would result from a retirement or exchange of ZENS. Similarly, a significant amount of exchanges of ZENS by ZENS holders could adversely impact CenterPoint Energy’s cash flows and liquidity, subject to the availability of net operating loss carryforwards or CAMT carryforwards. This could happen if CenterPoint Energy’s creditworthiness were to drop, the market for the ZENS were to become illiquid, or for some other reason. While funds for the payment of cash upon exchange of ZENS could be obtained from the sale of the shares of ZENS-Related Securities CenterPoint Energy owns or from other sources, ZENS exchanges result in a cash outflow because tax deferrals related to the ZENS and ZENS-Related Securities shares would typically be reversed when ZENS are exchanged and ZENS-Related Securities shares are sold, subject to the availability of net operating loss carryforwards or CAMT carryforwards to reduce the cash taxes payable in the year of exchange or sale.</w:t>
      </w:r>
    </w:p>
    <w:p>
      <w:pPr>
        <w:spacing w:after="0" w:line="170" w:lineRule="exact"/>
        <w:rPr>
          <w:sz w:val="20"/>
          <w:szCs w:val="20"/>
          <w:color w:val="auto"/>
        </w:rPr>
      </w:pPr>
    </w:p>
    <w:p>
      <w:pPr>
        <w:ind w:right="100" w:firstLine="127"/>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potential business strategies and strategic initiatives, including merger and acquisition activities and the disposition of assets or businesses, may not be completed or perform as expected, adversely affecting our business, financial condition, results of operations and cash flows.</w:t>
      </w:r>
    </w:p>
    <w:p>
      <w:pPr>
        <w:spacing w:after="0" w:line="154" w:lineRule="exact"/>
        <w:rPr>
          <w:sz w:val="20"/>
          <w:szCs w:val="20"/>
          <w:color w:val="auto"/>
        </w:rPr>
      </w:pPr>
    </w:p>
    <w:p>
      <w:pPr>
        <w:jc w:val="both"/>
        <w:ind w:right="40" w:firstLine="255"/>
        <w:spacing w:after="0" w:line="264" w:lineRule="auto"/>
        <w:rPr>
          <w:sz w:val="20"/>
          <w:szCs w:val="20"/>
          <w:color w:val="auto"/>
        </w:rPr>
      </w:pPr>
      <w:r>
        <w:rPr>
          <w:rFonts w:ascii="Times New Roman" w:cs="Times New Roman" w:eastAsia="Times New Roman" w:hAnsi="Times New Roman"/>
          <w:sz w:val="14"/>
          <w:szCs w:val="14"/>
          <w:color w:val="auto"/>
        </w:rPr>
        <w:t>Our business, financial condition, results of operations and cash flows depend, in part, on our management’s ability to implement our business strategies successfully and realize the anticipated benefits therefrom. In 2025, we announced our strategic goals for CenterPoint Energy, including our new 10-year capital plan. Our strategic goals are subject to the risks described in this section and various assumptions. These assumptions may require updating or we may not be able to execute on these strategic goals in a timely manner or at all. If we are unable to execute on our strategic goals, including our 10-year capital plan, the benefits therefrom may not be fully realized, if at all, and our reputation may be adversely affected.</w:t>
      </w:r>
    </w:p>
    <w:p>
      <w:pPr>
        <w:spacing w:after="0" w:line="162" w:lineRule="exact"/>
        <w:rPr>
          <w:sz w:val="20"/>
          <w:szCs w:val="20"/>
          <w:color w:val="auto"/>
        </w:rPr>
      </w:pPr>
    </w:p>
    <w:p>
      <w:pPr>
        <w:jc w:val="both"/>
        <w:ind w:right="40" w:firstLine="255"/>
        <w:spacing w:after="0" w:line="287" w:lineRule="auto"/>
        <w:rPr>
          <w:sz w:val="20"/>
          <w:szCs w:val="20"/>
          <w:color w:val="auto"/>
        </w:rPr>
      </w:pPr>
      <w:r>
        <w:rPr>
          <w:rFonts w:ascii="Times New Roman" w:cs="Times New Roman" w:eastAsia="Times New Roman" w:hAnsi="Times New Roman"/>
          <w:sz w:val="14"/>
          <w:szCs w:val="14"/>
          <w:color w:val="auto"/>
        </w:rPr>
        <w:t>From time to time we have made, and may continue to make, acquisitions or divestitures of, or other similar transactions involving, businesses and assets, such as our announced sale of our Ohio natural gas LDC business, Houston Electric’s release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ind w:right="60"/>
        <w:spacing w:after="0" w:line="264" w:lineRule="auto"/>
        <w:rPr>
          <w:sz w:val="20"/>
          <w:szCs w:val="20"/>
          <w:color w:val="auto"/>
        </w:rPr>
      </w:pPr>
      <w:r>
        <w:rPr>
          <w:rFonts w:ascii="Times New Roman" w:cs="Times New Roman" w:eastAsia="Times New Roman" w:hAnsi="Times New Roman"/>
          <w:sz w:val="14"/>
          <w:szCs w:val="14"/>
          <w:color w:val="auto"/>
        </w:rPr>
        <w:t>of its large TEEEF units to the San Antonio area and other potential future releasing and subleasing of TEEEF, form joint ventures or undertake restructurings, such as the Restructuring. However, suitable acquisition candidates or potential buyers may not continue to be available on terms and conditions we find acceptable, or the expected benefits of completed acquisitions, dispositions or similar transactions may not be realized fully or at all or may not be realized in the anticipated timeframe. If we are unable to make acquisitions, or if those acquisitions do not perform as anticipated, our future growth may be adversely affected. Further, any completed or future acquisitions, dispositions or other strategic transactions involve substantial risks, including the following:</w:t>
      </w:r>
    </w:p>
    <w:p>
      <w:pPr>
        <w:spacing w:after="0" w:line="162"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businesses or assets, or other business strategies and strategic initiatives may not produce revenues, earnings or cash flow at anticipated levels;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businesses or assets, or other business strategies and strategic initiatives could have environmental, permitting or other problems for which contractual protections prove inadequate;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assume liabilities that were not disclosed to us, that exceed our estimates, or for which our rights to indemnification from the seller are limited;</w:t>
      </w:r>
    </w:p>
    <w:p>
      <w:pPr>
        <w:spacing w:after="0" w:line="8" w:lineRule="exact"/>
        <w:rPr>
          <w:rFonts w:ascii="Times New Roman" w:cs="Times New Roman" w:eastAsia="Times New Roman" w:hAnsi="Times New Roman"/>
          <w:sz w:val="14"/>
          <w:szCs w:val="14"/>
          <w:color w:val="auto"/>
        </w:rPr>
      </w:pPr>
    </w:p>
    <w:p>
      <w:pPr>
        <w:ind w:left="520" w:right="22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integrate acquired businesses successfully and realize anticipated economic, operational and other benefits in a timely manner, which could result in substantial costs and delays or other operational, technical or financial problems;</w:t>
      </w:r>
    </w:p>
    <w:p>
      <w:pPr>
        <w:ind w:left="520" w:right="34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dispositions or other strategic transactions, or the pursuit of such transactions, including any separation or disentanglement efforts or requirements, such as the provision of transition services, could disrupt our ongoing businesses, distract management, divert resources and make it difficult to maintain current business standards, controls and procedures;</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receive regulatory approvals necessary to complete an acquisition, disposition or similar transaction in a timely manner or at all;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shifting governmental policies may impact governmental support for strategic transactions.</w:t>
      </w:r>
    </w:p>
    <w:p>
      <w:pPr>
        <w:spacing w:after="0" w:line="185"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On October 20, 2025, CenterPoint Energy, through its subsidiary CERC Corp., entered into the Ohio Securities Purchase Agreement to sell its Ohio natural gas LDC business. The transaction is expected to close in the fourth quarter of 2026, subject to the satisfaction of customary closing conditions. For further information, see Note 4 to the consolidated financial statements. We can make no assurances regarding the completion of this sale, which could be subject to delays or may not ultimately be consummated.</w:t>
      </w:r>
    </w:p>
    <w:p>
      <w:pPr>
        <w:spacing w:after="0" w:line="155" w:lineRule="exact"/>
        <w:rPr>
          <w:sz w:val="20"/>
          <w:szCs w:val="20"/>
          <w:color w:val="auto"/>
        </w:rPr>
      </w:pPr>
    </w:p>
    <w:p>
      <w:pPr>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Changing demographics, poor investment performance of pension plan assets and other factors adversely affecting the calculation of pension liabilities could unfavorably impact our business, financial condition, results of operations and cash flows.</w:t>
      </w:r>
    </w:p>
    <w:p>
      <w:pPr>
        <w:spacing w:after="0" w:line="143" w:lineRule="exact"/>
        <w:rPr>
          <w:sz w:val="20"/>
          <w:szCs w:val="20"/>
          <w:color w:val="auto"/>
        </w:rPr>
      </w:pPr>
    </w:p>
    <w:p>
      <w:pPr>
        <w:ind w:right="180"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and its subsidiaries maintain qualified defined benefit pension plans covering certain of its employees. Costs associated with these plans are dependent upon a number of factors including the investment returns on plan assets, the level of interest rates used to calculate the funded status of the plan, contributions to the plan, the number of plan participants and government regulations with respect to funding requirements and the calculation of plan liabilities. Funding requirements may increase and CenterPoint Energy may be required to make unplanned contributions in the event of a decline in the market value of plan assets, a decline in the interest rates used to calculate the present value of future plan obligations, or government regulations that increase minimum funding requirements or the pension liability. See Note 8 to the consolidated financial statements for further information. In addition to affecting CenterPoint Energy’s funding requirements, these factors could adversely affect our business, financial condition, results of operations and cash flows.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may be significantly affected by changes in federal income tax laws and regulations, including any comprehensive federal tax reform legislation.</w:t>
      </w:r>
    </w:p>
    <w:p>
      <w:pPr>
        <w:spacing w:after="0" w:line="202"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Our businesses are impacted by U.S. federal income tax policy. The TCJA, CARES Act, the IRA and OBBBA significantly changed the U.S. Internal Revenue Code, including taxation of U.S. corporations, by among other things, reducing the federal corporate income tax rate, altering the expensing of capital expenditures, enacting a new CAMT, and phasing out previously expanded federal tax credits for cleaner energy production. Based on guidance available as of the date of the filing of this Form 10-K, the Registrants will continue to be subject to the CAMT included in the IRA.</w:t>
      </w:r>
    </w:p>
    <w:p>
      <w:pPr>
        <w:spacing w:after="0" w:line="162"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The interpretive guidance issued by the IRS and state tax authorities, as well as related federal executive orders, may be inconsistent with our interpretation and the legislation could be subject to amendments, which could lessen or increase certain impacts of the legislation. In addition, while certain regulators have allowed the Registrants to recover certain costs associated with the CAMT in the past, the regulatory treatment of the expanded tax credits and CAMT could impact the Registrants’ future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cash flows, and this legislation could result in unintended consequences not yet identified that could have an adverse impact on the Registrants’ financial results and future cash flows.</w:t>
      </w:r>
    </w:p>
    <w:p>
      <w:pPr>
        <w:spacing w:after="0" w:line="200"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Further changes in federal tax legislation or guidance, or uncertainties regarding the repeal, continuation or interpretation of such tax legislation or guidance, could significantly change the federal income tax laws applicable to domestic businesses, including changes that may impact investment incentives and deductions for depreciation and interest, among other deductions. Additional new federal tax reform legislation and the implementation of new or increased tariffs could lead to increases in market interest rates, a decrease in U.S. economic growth, and/or recession. In addition, interpretations, regulations, amendments, or technical corrections that affect the amount and timing of income tax payments could adversely affect our liquidity. While CenterPoint Energy and its subsidiaries cannot assess the overall impact of any such potential legislation or other actions on our businesses, it is possible that our business, financial condition, results of operations and cash flows could be negatively impacted. Furthermore, with any enacted federal tax reform legislation, it is uncertain how state commissions and local municipalities may require us to respond to the effects of such tax legislation, including determining the treatment of EDIT and other increases and decreases in our revenue requirements. As such, potential regulatory actions in response to any enacted tax legislation could adversely affect our business, financial condition, results of operations and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Affecting Safety and Security Risks</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The Registrants’ businesses have safety risks.</w:t>
      </w:r>
    </w:p>
    <w:p>
      <w:pPr>
        <w:spacing w:after="0" w:line="202"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The Registrants’ facilities and distribution and transmission systems have been and may in the future be involved in incidents that result in injury, death, or property loss to employees, customers, third parties (including vendors, suppliers and contractors), or the public. Although the Registrants have insurance coverage for many potential incidents, depending upon the nature and severity of any incident, they have in the past and could in the future experience financial loss, claims and litigation, damage to their reputation, and negative consequences from regulatory authorities or other public authorities. Further, certain CenterPoint Energy employees who work in the field have experienced threats of violence during the performance of their work. Threats of violence, actual violence and other concerns may result in employees and third parties supporting the work of the Registrants sustaining serious injuries and being unable or unwilling to complete critical functions, which could adversely affect our businesses, financial condition, results of operations and cash flows, and could make it harder to, among other things, recruit and retain certain employees.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Cyberattacks, physical security breaches, acts of terrorism or other disruptions could adversely impact our business, financial condition, results of operations and cash flows.</w:t>
      </w:r>
    </w:p>
    <w:p>
      <w:pPr>
        <w:spacing w:after="0" w:line="20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We are subject to cyber and physical security risks related to our information technology systems, operational technology, network infrastructure and other technology and facilities used to conduct almost all of our businesses. The operation of our electric transmission, distribution and generation systems is dependent on the physical interconnection of our facilities, as well as communications among the various components of our systems and the systems of supply chain stakeholders (such as vendors, contractors and suppliers). Further, certain of the various internal systems we use to conduct our businesses are highly integrated. Consequently, a cyberattack or unauthorized access in any one of these systems could potentially impact the other systems. Similarly, our business operations, including our transmission systems and natural gas pipelines, are part of an interconnected system. Disruption of those systems, or our ability to communicate with those systems, whether caused by physical disruption such as storms or other natural disasters, by failure of equipment or technology or by man-made events, such as cyberattacks or acts of terrorism, may disrupt our ability to conduct operations and control assets, lead to operational interruptions and negatively impact our business.</w:t>
      </w:r>
    </w:p>
    <w:p>
      <w:pPr>
        <w:spacing w:after="0" w:line="168"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sophistication of cybersecurity threats, including those leveraging AI, continues to increase, and the controls and preventative actions we take to reduce the risk of cybersecurity incidents and protect our systems, including the regular testing of our cybersecurity incident response plan, may be insufficient. In addition, new technology that could result in greater operational efficiency, such as AI and cloud-based infrastructure, may further expose our computer systems to the risk of cybersecurity incidents. Also, remote working arrangements could increase our data security risks, including loss of data related to sensitive customer, employee, financial and operating system information, through insider or outsider actions. Cyberattacks, including deep fakes (which are increasingly more difficult to identify as fake), phishing, smishing, vishing or quishing attacks and threats from the use of malware, ransomware and viruses or malicious code, and unauthorized access could also result in the loss, or unauthorized use, of confidential, proprietary or critical infrastructure data or security breaches of other information technology systems that could disrupt operations and critical business functions, adversely affect our reputation, impact our customers, increase costs and subject us to possible legal claims and liability. While we have implemented and maintain a cybersecurity program designed to protect our information technology, operational technology, and data systems from such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7" w:name="page48"/>
    <w:bookmarkEnd w:id="47"/>
    <w:p>
      <w:pPr>
        <w:spacing w:after="0" w:line="255" w:lineRule="auto"/>
        <w:rPr>
          <w:sz w:val="20"/>
          <w:szCs w:val="20"/>
          <w:color w:val="auto"/>
        </w:rPr>
      </w:pPr>
      <w:r>
        <w:rPr>
          <w:rFonts w:ascii="Times New Roman" w:cs="Times New Roman" w:eastAsia="Times New Roman" w:hAnsi="Times New Roman"/>
          <w:sz w:val="14"/>
          <w:szCs w:val="14"/>
          <w:color w:val="auto"/>
        </w:rPr>
        <w:t>attacks, our cybersecurity program does not prevent all breaches or cyberattack incidents. Publicly known vulnerabilities in our information technology and operational technology environments may not be remediated before an adversary could discover or exploit them. Attackers can also exploit new, unknown vulnerabilities (e.g., zero-day vulnerabilities) and vulnerabilities where a patch or other remediation measure is not yet available. The data that we disclose to, and services we receive from, third parties may be subject to cybersecurity risks associated with threats to third-party systems. These risks include security compromises, vulnerabilities or failures related to the technologies and systems used by service providers, other supply chain stakeholders and/or governmental entities. The potential impact of such threats depends in part on the criticality of the third-party services and/or extent of access these third parties have to our confidential information and/or systems. We have experienced an increase in the number of attempts by external parties to access our networks or our company data without authorization. We have also experienced, and expect to continue to experience, cyber intrusions and attacks to our information systems and those of third parties, including supply chain stakeholders and government entities who perform certain services for us or administer and maintain our sensitive information. These prior intrusions and attacks have not had a material impact on our business, financial condition, results of operations and cash flows. Because technology is increasingly complex and cyberattacks are increasingly sophisticated and more frequent, there is a risk such incidents could have an adverse effect on us in the future. The risk of a disruption or breach of our operational technology systems, or the compromise of the data processed in connection with our operations, through a cybersecurity breach or ransomware attack, has increased as attempted attacks have advanced in sophistication and number around the world. Although CenterPoint Energy currently maintains cybersecurity insurance, this insurance is limited in scope and subject to exceptions, conditions and coverage limitations and may not cover the costs associated with potential cybersecurity incidents, and there is no guarantee that the insurance that CenterPoint Energy currently maintains will continue to be available at rates we believe are reasonable.</w:t>
      </w:r>
    </w:p>
    <w:p>
      <w:pPr>
        <w:spacing w:after="0" w:line="174"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Our continued efforts to integrate, consolidate and streamline our operations have also resulted in increased reliance on current and recently completed projects for technology systems and may increase potential vulnerabilities and points of failure in our information and operations systems. A failure to maintain and enhance existing information technology systems, or the failure of new technology systems to be implemented as designed, could adversely affect our operations. Procedures we implement to protect our systems may be insufficient to protect and safeguard against unauthorized access to secured data. A failure of our technologies or procedures, or our inability to support and integrate these technologies across our subsidiaries, could materially and adversely impact our operations, diminish customer confidence and our reputation, materially increase the costs we incur to protect against these risks and subject us to possible financial liability or increased regulation or litigation.</w:t>
      </w:r>
    </w:p>
    <w:p>
      <w:pPr>
        <w:spacing w:after="0" w:line="167"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We depend on the secure operations of our physical assets to transport the energy we deliver and our information technology to process, transmit and store electronic information, including information and operational technology we use to safely operate our energy transportation systems. Companies in our industry face a heightened risk of exposure to and have experienced acts of terrorism and vandalism. Our electric and gas physical infrastructure may be targets of physical security threats or terrorist activities. Further, recent escalation with respect to geopolitical conflicts may increase the likelihood that facilities within the United States, including natural gas distribution systems or electric transmission, distribution or generation systems that we own or on which we rely, will be targeted by strikes, acts of terrorism or cyberattacks. Security breaches, attacks on our infrastructure and facilities, including against the Registrants or as a means to harm a third party by disrupting the transmission and distribution of energy, acts of terrorism, including by foreign or domestic actors, and vandalism could expose our business to a risk of loss, misuse or interruption of critical physical assets or information and functions that affect our operations, as well as potential data privacy breaches and loss of protected personal information and other sensitive information, such as Critical Energy Infrastructure Information. Such losses could result in operational impacts, damage to our assets, public or personal safety incidents, impacts to our customers, damage to the environment, reputational harm, competitive disadvantage, increased regulation and regulatory enforcement actions, litigation and a potential adverse effect on our business, financial condition, results of operations and cash flows. There is no certainty that costs incurred related to actual or thwarted cyberattacks, or for the safeguarding against such security threats, will be recoverable through rates.</w:t>
      </w:r>
    </w:p>
    <w:p>
      <w:pPr>
        <w:spacing w:after="0" w:line="339" w:lineRule="exact"/>
        <w:rPr>
          <w:sz w:val="20"/>
          <w:szCs w:val="20"/>
          <w:color w:val="auto"/>
        </w:rPr>
      </w:pPr>
    </w:p>
    <w:p>
      <w:pPr>
        <w:ind w:right="6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Compliance with and changes in cybersecurity laws and regulations have a cost and operational impact on our business, and failure to comply with such requirements could adversely impact our business, financial condition, results of operations and cash flows.</w:t>
      </w:r>
    </w:p>
    <w:p>
      <w:pPr>
        <w:spacing w:after="0" w:line="14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Regulators have adopted numerous rules and regulations regarding cybersecurity. As a result, CenterPoint Energy continues to take measures to comply with the TSA pipeline security directive requirements applicable to critical pipeline owners and operators. These security directives require CenterPoint Energy to establish, implement and assess a TSA-approved Cybersecurity Implementation Plan that describes the security measures maintained to comply with relevant provisions of the security directives. CenterPoint Energy is also subject to standards enacted by NERC and enforced by FERC regarding protection of critical infrastructure assets required for operating North America's bulk electric system. We may be required to expend significant additional resources and costs to respond to cyberattacks, to continue to modify or enhance our protective measures, or to assess, investigate and remediate any critical infrastructure security vulnerabilities. There is no certainty that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8" w:name="page49"/>
    <w:bookmarkEnd w:id="48"/>
    <w:p>
      <w:pPr>
        <w:ind w:right="40"/>
        <w:spacing w:after="0" w:line="264" w:lineRule="auto"/>
        <w:rPr>
          <w:sz w:val="20"/>
          <w:szCs w:val="20"/>
          <w:color w:val="auto"/>
        </w:rPr>
      </w:pPr>
      <w:r>
        <w:rPr>
          <w:rFonts w:ascii="Times New Roman" w:cs="Times New Roman" w:eastAsia="Times New Roman" w:hAnsi="Times New Roman"/>
          <w:sz w:val="14"/>
          <w:szCs w:val="14"/>
          <w:color w:val="auto"/>
        </w:rPr>
        <w:t>such costs incurred will be recovered through rates. We also face increasing and evolving disclosure and reporting obligations related to cybersecurity events, and there is no certainty that we will be able to meet existing or future disclosure obligations and avoid the risk of potentially having our disclosures misinterpreted when made. National security or public safety considerations may further affect, or in some instances prevent, our public disclosure of a cybersecurity incident in certain circumstances. Any failure to remain in compliance with these government regulations or failure in our cybersecurity protective measures may result in enforcement actions which may have an adverse effect on our business, financial condition, results of operations and cash flows.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Failure to maintain the security of personal information could adversely affect us.</w:t>
      </w:r>
    </w:p>
    <w:p>
      <w:pPr>
        <w:spacing w:after="0" w:line="202"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4"/>
          <w:szCs w:val="14"/>
          <w:color w:val="auto"/>
        </w:rPr>
        <w:t>In connection with our businesses, we and supply chain stakeholders collect and retain personal information (for example, information of our customers, shareholders, suppliers and employees), and there is an expectation that we and such supply chain stakeholders will adequately protect that information. The regulatory environment surrounding information security and data privacy continues to evolve and is increasingly demanding. New laws and regulations governing data privacy and the unauthorized disclosure of confidential information pose increasingly complex compliance challenges and elevate our costs. Any failure by us to comply with these laws and regulations, including as a result of a security or privacy breach, could result in significant costs, fines and penalties and liabilities for us. The systems we have implemented to protect our information technology, operational technology and data systems from attacks cannot prevent all security breaches, and the systems we have implemented to manage and protect personal information cannot prevent all privacy breaches. We and some supply chain stakeholders that maintain personal information have experienced, and expect to continue to experience, data privacy incidents and breaches; however, to date, we have not experienced a material data privacy incident or breach. A significant theft, loss or fraudulent use of the personal information we maintain, or failure of our vendors, suppliers and contractors to use or maintain such data in accordance with contractual provisions and other legal requirements, could adversely impact our reputation and could result in significant costs, fines and penalties and liabilities for us.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adoption, development and deployment of AI, which could adversely affect our business, reputation, or financial results.</w:t>
      </w:r>
    </w:p>
    <w:p>
      <w:pPr>
        <w:spacing w:after="0" w:line="20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We are using and exploring the further use of AI, including generative AI, and its ability to enhance the services we offer to the communities we serve. There are significant risks involved in developing and deploying AI, and ineffective or inadequate development or deployment of AI practices by us or supply chain stakeholders could result in unintended consequences. We contract with supply chain stakeholders that use AI in products and services they provide, and we may not have full control or visibility over the quality, performance, security or compliance of the products and services that incorporate AI-related technology. Additionally, the use of AI may not enhance our services or be beneficial to our business, including with respect to the efficiency and resiliency of our systems. For example, AI-related efforts by us or supply chain stakeholders may give rise to risks related to harmful content, accuracy, bias, discrimination, intellectual property infringement or misappropriation, defamation, data privacy, and cybersecurity, among others, which could lead to operational interruptions or otherwise adversely affect our business, reputation or financial results. In addition, the adoption of AI may subject us to new or enhanced governmental or regulatory scrutiny, new or amended laws, rules, directives, and regulations governing the use of AI (which may be conflicting), litigation, ethical concerns, negative consumer perceptions as to automation and AI, or other complications that could adversely affect our business, reputation, or financial results. Developing, testing and deploying resource-intensive AI systems may also require additional investment and increase costs. We may not be able to recover our investments in AI technology through our regulatory proceedings, and our use of, or supply chain stakeholders’ use of, AI may subject us to legal liability. Similarly, as AI continues to evolve, we may not be able to adopt and implement AI as quickly as our customers or communities desire or regulators may require, which could also adversely affect us. AI is a relatively new and rapidly evolving technology, and we are unable to predict all of the risks that may result from the adoption of our AI initiatives.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and Other Risks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Our revenues and results of operations are seasonal.</w:t>
      </w:r>
    </w:p>
    <w:p>
      <w:pPr>
        <w:spacing w:after="0" w:line="202"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Our revenues and results of operations are subject to seasonality, weather conditions and other changes in electricity and natural gas usage, as applicable. Houston Electric’s revenues are generally higher during the warmer months. As in certain past years, unusually mild weather in the warmer months could diminish Houston Electric’s results of operations and harm its business, financial condition and cash flows. Conversely, as in certain past years, extreme warm weather conditions could increase Houston Electric’s results of operations in a manner that would not likely be annually recurring. A significant portion of Indiana Electric’s sales are for space heating and cooling. Consequently, as in certain past years, Indiana Electric’s results of operations may be adversely affected by warmer-than-normal heating season weather or colder-than-normal cooling season weather, while, as has occurred in certain past years, more extreme seasonal weather conditions could increase Indiana</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9" w:name="page50"/>
    <w:bookmarkEnd w:id="49"/>
    <w:p>
      <w:pPr>
        <w:ind w:right="20"/>
        <w:spacing w:after="0" w:line="270" w:lineRule="auto"/>
        <w:rPr>
          <w:sz w:val="20"/>
          <w:szCs w:val="20"/>
          <w:color w:val="auto"/>
        </w:rPr>
      </w:pPr>
      <w:r>
        <w:rPr>
          <w:rFonts w:ascii="Times New Roman" w:cs="Times New Roman" w:eastAsia="Times New Roman" w:hAnsi="Times New Roman"/>
          <w:sz w:val="14"/>
          <w:szCs w:val="14"/>
          <w:color w:val="auto"/>
        </w:rPr>
        <w:t>Electric’s results of operations in a manner that would not likely be annually recurring. Revenues in our Natural Gas reportable segment are customarily higher during the winter months. As in certain past years, unusually mild weather in the winter months could diminish our results of operations and harm our business, financial condition, results of operations and cash flows. Conversely, as occurred in certain past years, extreme cold weather conditions could increase our results of operations in a manner that would not likely be annually recurring.</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Severe weather events, natural disasters and other climate-related impacts could adversely impact our businesses, financial condition, results of operations and cash flows.</w:t>
      </w:r>
    </w:p>
    <w:p>
      <w:pPr>
        <w:spacing w:after="0" w:line="20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A changing climate creates uncertainty and could result in broad changes, both physical and financial in nature, to our service territories and our business. Our facilities and operations face physical risks from severe weather events, natural disasters and other climate-related conditions, which have become more frequent, unpredictable and severe as a result of climate change or other factors. Severe weather events, natural disasters and other climate-related conditions impact our service territories, primarily when hurricanes and remnants of hurricanes, tornadoes, floods, severe winter weather conditions, including ice storms, wildfires, thunderstorms, high winds, hail, derecho events, microbursts, drought, excess humidity or extreme temperatures (high heating/cooling days) occur, which can impact our operations and our ability to serve our customers, including resulting in operational interruptions and large-scale and/or prolonged outages. To the extent the frequency and severity of extreme weather events, natural disasters and climate-related conditions such as rising sea level and coastal erosion continue to increase, our costs of providing service may increase, including the costs and availability of procuring insurance related to such impacts, and those costs may not be recoverable. In addition, our insurance may not be sufficient or effective under all circumstances and against all related hazards or liabilities to which we may be subject. Any losses for which we are not fully insured or that are not covered by insurance at all could adversely affect our business, financial condition, results of operations and cash flows. A delay or failure in recovering amounts for storm restoration costs incurred, inability to securitize future storm restoration costs, or loss of revenues as a result of severe weather could have a material impact on us, including lower credit ratings and, thus, higher costs for future debt issuances, as well as limitations on our ability to fund other investments to address customer needs. The implementation of budget and spending cuts to federal government agencies and programs could also impact our operations and our ability to serve customers when such weather events, natural disasters and other climate conditions occur, including increasing our costs. Further, events of extreme weather and natural disasters could make it unsafe or hinder the effectiveness of our employees to fix, maintain and restore power to affected areas and could harm our reputation. Since certain of our facilities are located along or near the Texas Gulf Coast, increased or more severe hurricanes, tornadoes or derecho events could increase our costs to repair damaged facilities and restore service to our customers. Our electric and natural gas operations in our service territories have both been impacted by severe weather events, including the February 2021 Winter Storm Event, the May 2024 Storm Event and Hurricane Beryl, and could experience similar events in the future, which could have an adverse impact on our business, financial condition, results of operations and cash flows. Further, if climate changes occur that result in fewer heating degree days than normal in our service territories, which has occurred in certain past years, financial results from our businesses could be adversely impacted. For example, where natural gas is used to heat homes and businesses, warmer weather might result in less natural gas being used, adversely affecting us.</w:t>
      </w:r>
    </w:p>
    <w:p>
      <w:pPr>
        <w:spacing w:after="0" w:line="168"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Severe weather events, natural disasters and the effects of climate change have increased the duration of wildfire season and may further exacerbate the possibility of wildfires and the risks related thereto, including that we may be held liable for damages incurred as a result of wildfires, reputational harm, damage to our network, facilities and systems resulting therefrom. While we proactively take steps to mitigate wildfire risk in the areas of our electrical and natural gas assets, wildfire risk is always present. We could be held liable for damages incurred as a result of wildfires or incur reputational harm if it was determined that they were caused by or enhanced due to any fault of CenterPoint Energy. Wildfires could also jeopardize our electric and natural gas infrastructure, including Houston Electric’s and Indiana Electric’s vast network of electric transmission and distribution lines and facilities and CERC’s natural gas distribution systems, and third-party property and result in temporary or prolonged power outages and shortages in our service territories. Wildfires also have the potential to negatively affect communities in our service territories and the surrounding areas, and the continued expansion of the wildland-urban interface has increased this wildfire risk. In addition, while we maintain wildfire insurance, our insurance may not be sufficient to cover all losses we may incur as a result of wildfires. Wildfires could also lead to significant financial distress, credit rating downgrades and further increased costs for wildfire insurance or lack of availability thereof. Insufficient wildfire insurance coverage, increased wildfire insurance costs and a lack of wildfire insurance availability could adversely impact our business, financial condition, results of operations and cash flows. Furthermore, any damage caused to our assets, loss of service to our customers, liability imposed, credit rating downgrades or regulatory recovery risk occurring as a result of wildfires could negatively impact our business, financial condition, results of operations and cash flows.</w:t>
      </w:r>
    </w:p>
    <w:p>
      <w:pPr>
        <w:spacing w:after="0" w:line="169" w:lineRule="exact"/>
        <w:rPr>
          <w:sz w:val="20"/>
          <w:szCs w:val="20"/>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We are subject to transition risk relating to climate change, as well. In the long term, climate change could cause shifts in population, including customers moving away from our service territories. When we cannot deliver electricity or natural gas 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0" w:name="page51"/>
    <w:bookmarkEnd w:id="50"/>
    <w:p>
      <w:pPr>
        <w:ind w:right="40"/>
        <w:spacing w:after="0" w:line="254" w:lineRule="auto"/>
        <w:rPr>
          <w:sz w:val="20"/>
          <w:szCs w:val="20"/>
          <w:color w:val="auto"/>
        </w:rPr>
      </w:pPr>
      <w:r>
        <w:rPr>
          <w:rFonts w:ascii="Times New Roman" w:cs="Times New Roman" w:eastAsia="Times New Roman" w:hAnsi="Times New Roman"/>
          <w:sz w:val="14"/>
          <w:szCs w:val="14"/>
          <w:color w:val="auto"/>
        </w:rPr>
        <w:t>customers or our customers cannot receive our services, our financial results are impacted by lost revenues, and we generally must seek approval from regulators to recover restoration costs. To the extent we are unable to recover those costs or recover in a timely manner, or if recovery of such costs results in higher rates and reduced demand for our services, our future financial results may be adversely impacted. Similarly, public and private efforts to address climate change, such as by legislation, regulation, actions by private interest groups, and litigation, could impact our ability to continue operating our businesses as we do today, significant aspects of which rely on fossil fuels. These initiatives could have a significant impact on us and our operations as well as on our third-party suppliers, vendors and partners, which could impact us by among other things, causing permitting and construction delays, project cancellations or increased project costs passed on to us. We also may be subject to climate change litigation, which could result in substantial fines, penalties or damages and restrictions on our operations. The utility industry has already faced such litigation, challenging its marketing and use of fossil fuels and attributing climate change to emissions resulting from the use of fossil fuels. While we have pursued and executed, and continue to pursue and execute, on plans to accelerate investments to enhance the resiliency of our systems to better withstand severe weather, natural disasters, and other climate-related impacts, these plans are generally subject to approval by regulators and may not be approved in full or at all. Certain accelerated resilience plans of the Registrants have received regulatory approval for a limited scope and duration, generally at levels less than those proposed to the regulators. We may not be able to successfully execute such plans and projects in the time and manner planned and there are risks regarding the ability to demonstrate the efficacy of the accelerated resilience investments in mitigating storm impacts, as well as in seeking and obtaining regulatory approval for additional accelerated resilience plans and projects that may be necessary. The need for this investment and these expenditures could cause execution, liquidity, capital or other financing-related risks as well as result in upward pressure on our customer rates, which, particularly when combined with upward pressure resulting from the recovery of the costs of recent and future storms, may result in adverse actions by applicable regulators or effectively limit our ability to make other planned capital or other investments. The occurrence of extreme weather events, including winter storms and record hot temperatures, or other causes could also lead to additional reforms to the Texas electric market, some measure of which, if implemented, could have an adverse impact on Houston Electric. For example, during and in the aftermath of the February 2021 Winter Storm Event, the Texas legislature revised applicable statutes and granted the PUCT and ERCOT additional regulatory authority, both oversight and enforcement, that focuses on ensuring ERCOT market participants, including Houston Electric, have adopted sufficient winterization standards and protection. If any additional protections are required in the future as a result of additional extreme weather events or other causes, complying with these new protections may increase the cost of electricity, which could adversely affect Houston Electric’s business, financial condition, results of operations and cash flows.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related to changes in demand and energy consumption that could adversely impact our business, financial condition, results of operations and cash flows.</w:t>
      </w:r>
    </w:p>
    <w:p>
      <w:pPr>
        <w:spacing w:after="0" w:line="20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Our businesses are also affected by new customers and load growth. We anticipate a high level of load growth and an increase in demand for electric power in certain of our service territories, including from the expansion of data centers (associated with, among other things, increasing demand for AI), energy refining and exports, advanced manufacturing and logistics, and a significant portion of the planned investments in our 10-year capital plan is intended to support such expected growth. Nevertheless, significant uncertainty exists. We are subject to potential challenges in accurately forecasting such load growth and predicting future electric power needs due to, among other things, rapidly changing technology and market dynamics, changes in industry practice and the possibility that new large customers will be transitory and exit our service territory or otherwise delay or cancel their planned projects. We are subject to potential challenges in capitalizing on opportunities presented by these developments (including if such opportunities do not materialize to the degree expected), managing the potential power demand, generation sources, and transmission capabilities to meet potential load growth, financing the capital investment needed to build and maintain the necessary infrastructure to support such development on satisfactory terms and conditions and consistent with the maintenance of satisfactory credit ratings, executing on such build and maintenance of the necessary infrastructure to support such development on acceptable timelines and in a cost-effective manner while maintaining affordability for customers, managing the possible environmental impact of the potential increased power demand, achieving our energy transition goals on expected timelines and evaluating and complying with evolving regulations related to such development. These challenges, and our efforts to predict and address them, could have a material impact on us, including if we fail to capitalize on the opportunities relating to these developments or fully realize anticipated benefits from significant capital investments and expenditures made to address such development, which could adversely affect our ability to execute our 10-year capital plan, cause us to incur additional expenses to terminate or redeploy any underutilized assets or infrastructure, or fail to fully recover our capital expenditures, all of which could have an adverse effect on our business, financial condition, results of operations and cash flows. For example, our failure to capitalize on the opportunities presented by these developments or potential large load customers delaying or cancelling their planned projects could lead to delays or the cancellation of projects included in our 10-year capital plan. Further, regulators may investigate the prudence of costs in our rates and examine, among other things, the reasonableness or prudence of our level of expenditures (including costs associated with our capital projects supporting new customers and load growth). In addition, volatility in stock prices of perceived significant energy customers, such as technology companies involved with data centers, AI or cryptocurrency, or other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significant developments with such companies, could cause increased volatility in stock prices of certain companies in our industry.</w:t>
      </w:r>
    </w:p>
    <w:p>
      <w:pPr>
        <w:spacing w:after="0" w:line="200"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Higher electric power demand and load growth could also significantly increase the prices of energy and capacity, which could in turn affect customer rates or be perceived to affect customer rates and raise affordability concerns, as well as raise resource adequacy and reliability concerns, particularly if that increased demand outpaces the addition of firm generation capacity and in transmission constrained zones. For example, there has been increasing media attention and public claims regarding the link between large load customers such as data centers and increased customer bills. Increased customer rates or the perception that customer rates are increasing to address large load customers could attract political and regulatory scrutiny, increase regulatory uncertainty for our capital investment plans and programs and present reputational risks. Additionally, projected load growth across the ERCOT system could, if not sufficiently addressed through system design and reliability measures, negatively impact electric infrastructure reliability and potentially cause system-wide stresses. This resource adequacy challenge presents reliability concerns, as well as potential for increasing energy and capacity prices that could place pressure on customer bills, attract political and regulatory scrutiny, increase regulatory uncertainty for our capital investment plans and programs and present reputational risks. These matters could have an adverse effect on our business, financial condition, results of operations and cash flows.</w:t>
      </w:r>
    </w:p>
    <w:p>
      <w:pPr>
        <w:spacing w:after="0" w:line="170"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Our businesses are also affected by reduction in energy consumption due to factors including economic, climate and market conditions in our service territories, energy efficiency/reduction initiatives, advances in technology and use of alternative technologies and changes in our customers’ perceptions regarding natural gas usage as a result of incidents of other utilities involving natural gas pipelines, which could impact our ability to grow our customer base and our rate of growth. Growth in customer accounts and growth of customer usage each directly influence demand for electricity and natural gas and the need for additional delivery facilities. Customer growth and customer usage are affected by a number of factors outside our control, such as energy efficiency/reduction initiatives, bans on or further regulation of natural gas-fired appliances, demand-side management goals, technological advances (e.g., distributed generation resources, energy storage devices and more energy efficient buildings and products) and economic and demographic conditions, including population changes, job and income growth, housing starts, changes in rate designs, new business formation and the overall level of economic activity. For example, certain regulatory and legislative bodies have introduced or are considering requirements and incentives to reduce energy consumption by certain dates. Declines in demand for electricity and natural gas in our service territories due to pipeline incidents of other utilities, increased electricity and natural gas prices as experienced during the February 2021 Winter Storm Event and during periods of persisting high inflation or economic downturns, among other factors, could reduce overall usage and lessen cash flows, especially as industrial customers reduce production and, therefore, consumption of electricity and natural gas. Although Houston Electric’s and Indiana Electric’s transmission and distribution businesses are subject to regulated allowable rates of return and recovery of certain costs under periodic adjustment clauses, overall declines in electricity delivered and used as a result of economic downturn or recession could reduce revenues and cash flows, thereby diminishing results of operations. A reduction in the rate of economic, employment and/or population growth could result in lower growth and reduced demand for and usage of electricity and natural gas in such service territories. Additionally, certain laws in our service territories allow municipalities to create, own, and operate utilities. If one or more municipalities in our service territories create new or supplemental utilities, or impair the franchises under which we serve customers in the applicable municipalities, it could result in lower growth and reduced demand for and usage of electricity and natural gas in such service territories. Further, deregulation or other changes in law in our service territories could allow third-party suppliers to contract directly with customers for their natural gas and electric supply requirements. In addition, legislation or regulation that supports distributed energy technologies or that allows third party sales from such technologies could result in further competition. Some or all of these factors could result in a lack of growth or decline in customer demand for electricity or natural gas or number of customers and may result in our failure to fully realize anticipated benefits from significant capital investments and expenditures, which could have an adverse effect on our business, financial condition, results of operations and cash flows.</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Aging infrastructure may lead to increased costs and disruptions in operations that could negatively impact our financial results.</w:t>
      </w:r>
    </w:p>
    <w:p>
      <w:pPr>
        <w:spacing w:after="0" w:line="202" w:lineRule="exact"/>
        <w:rPr>
          <w:sz w:val="20"/>
          <w:szCs w:val="20"/>
          <w:color w:val="auto"/>
        </w:rPr>
      </w:pPr>
    </w:p>
    <w:p>
      <w:pPr>
        <w:ind w:right="220" w:firstLine="255"/>
        <w:spacing w:after="0" w:line="259" w:lineRule="auto"/>
        <w:rPr>
          <w:sz w:val="20"/>
          <w:szCs w:val="20"/>
          <w:color w:val="auto"/>
        </w:rPr>
      </w:pPr>
      <w:r>
        <w:rPr>
          <w:rFonts w:ascii="Times New Roman" w:cs="Times New Roman" w:eastAsia="Times New Roman" w:hAnsi="Times New Roman"/>
          <w:sz w:val="14"/>
          <w:szCs w:val="14"/>
          <w:color w:val="auto"/>
        </w:rPr>
        <w:t>We have risks associated with aging infrastructure assets, including the failure of equipment or processes and potential breakdowns due to such aging. These risks have in the past and may continue to be driven by threats such as, but not limited to, electrical faults, mechanical failure, internal and external corrosion, ground movement and stress corrosion and/or cracking. The age of certain of our assets, including each of Indiana Electric’s coal generating facilities, which were constructed in 1973 and 1966, respectively, have in the past resulted and may continue to result in a need for replacement, higher level of maintenance costs, reduced generation output and unscheduled outages because of, among other things, our risk-based federal and state compliant integrity management programs. The failure to operate our assets as desired could result in interruption of service, safety concerns, major component failure at generating facilities and electric substations, events such as gas leaks, and an inability to meet service and compliance obligations, which could adversely impact revenues, and could also result in increased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52" w:name="page53"/>
    <w:bookmarkEnd w:id="52"/>
    <w:p>
      <w:pPr>
        <w:ind w:right="20"/>
        <w:spacing w:after="0" w:line="258" w:lineRule="auto"/>
        <w:rPr>
          <w:sz w:val="20"/>
          <w:szCs w:val="20"/>
          <w:color w:val="auto"/>
        </w:rPr>
      </w:pPr>
      <w:r>
        <w:rPr>
          <w:rFonts w:ascii="Times New Roman" w:cs="Times New Roman" w:eastAsia="Times New Roman" w:hAnsi="Times New Roman"/>
          <w:sz w:val="14"/>
          <w:szCs w:val="14"/>
          <w:color w:val="auto"/>
        </w:rPr>
        <w:t>capital expenditures and maintenance costs. As part of our capital plan and various plans and projects thereunder, we continue to make upgrades to our aging infrastructure assets to enhance the reliability of our infrastructure. Failure to achieve timely and full recovery of expenses associated with our aging infrastructure could adversely impact revenues and could result in increased capital expenditures or expenses. In addition, the nature of information available on aging infrastructure assets, which in some cases is incomplete, may make operation of the infrastructure, inspections, maintenance, upgrading and replacement of the assets particularly challenging. Missing or incorrect infrastructure data may lead to difficulty properly locating facilities, which can result in excavator damage and operational or emergency response issues; configuration and control risks associated with the modification of system operating pressures in connection with turning off or turning on service to customers, which can result in unintended outages or operating pressures; and other potential risks related to missing or incorrect infrastructure data. Also, additional maintenance and inspections are required in some instances to improve infrastructure information and records and address emerging regulatory or risk management requirements, resulting in increased costs.</w:t>
      </w:r>
    </w:p>
    <w:p>
      <w:pPr>
        <w:spacing w:after="0" w:line="16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Our ability to successfully maintain or replace our aging infrastructure has been and may continue to be delayed or be at a greater cost than anticipated due to supply chain issues or governmental actions. For example, while Indiana Electric’s 2025 IRP (similar to previous IRPs) preferred portfolios included the retirement of F.B. Culley Unit 2 by the end of 2025, a coal-fired generation unit, the U.S. Department of Energy issued emergency order 202(c) in December 2025 directing Indiana Electric to continue operating the unit through March 23, 2026. Additionally, with respect to our natural gas operations, if certain pipeline replacements (for example, cast-iron or bare steel pipe) are not completed timely or successfully, government agencies and private parties might allege the uncompleted replacements caused events such as fires, explosions or leaks. Although we maintain insurance for certain of our facilities, our insurance coverage may not be sufficient in the event a catastrophic loss is alleged to have been caused by a failure to timely complete equipment replacements. Insufficient insurance coverage and increased insurance costs could adversely impact our business, financial condition, results of operations and cash flows. Finally, aging infrastructure may complicate our utility operations ability to address severe weather, natural disaster and climate change concerns and efforts to enhance resiliency and reliability.</w:t>
      </w: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Our business, financial condition, results of operations and cash flows may be adversely affected if we are unable to successfully operate our facilities or perform certain corporate functions.</w:t>
      </w:r>
    </w:p>
    <w:p>
      <w:pPr>
        <w:spacing w:after="0" w:line="184"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Our performance depends on the successful operation of our facilities. Operating these facilities involves many risks inherent in the transmission, distribution and generation of electricity and in the delivery of natural gas that could result in substantial losses or other damages. From time to time, we have and may in the future experience various risks associated with the operations of our facilities, including, but not limited to, the following:</w:t>
      </w:r>
    </w:p>
    <w:p>
      <w:pPr>
        <w:spacing w:after="0" w:line="168" w:lineRule="exact"/>
        <w:rPr>
          <w:sz w:val="20"/>
          <w:szCs w:val="20"/>
          <w:color w:val="auto"/>
        </w:rPr>
      </w:pPr>
    </w:p>
    <w:p>
      <w:pPr>
        <w:ind w:left="520" w:right="100" w:hanging="260"/>
        <w:spacing w:after="0" w:line="253" w:lineRule="auto"/>
        <w:tabs>
          <w:tab w:leader="none" w:pos="511"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4"/>
          <w:szCs w:val="14"/>
          <w:color w:val="auto"/>
        </w:rPr>
        <w:t>operator error or failure of equipment or processes, including natural gas ignition events or associated incidents, pipeline high-pressure or over-pressure events or ruptures, or failure to follow appropriate safety protocols for, among others, the transmission and distribution of electricity and in the delivery of natural gas, including operations of our storage and peak shaving facilities;</w:t>
      </w:r>
    </w:p>
    <w:p>
      <w:pPr>
        <w:ind w:left="500" w:hanging="240"/>
        <w:spacing w:after="0" w:line="235" w:lineRule="auto"/>
        <w:tabs>
          <w:tab w:leader="none" w:pos="50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4"/>
          <w:szCs w:val="14"/>
          <w:color w:val="auto"/>
        </w:rPr>
        <w:t>the handling of hazardous equipment or materials that could result in serious personal injury, loss of life and environmental and property damage;</w:t>
      </w:r>
    </w:p>
    <w:p>
      <w:pPr>
        <w:spacing w:after="0" w:line="1" w:lineRule="exact"/>
        <w:rPr>
          <w:rFonts w:ascii="Arial" w:cs="Arial" w:eastAsia="Arial" w:hAnsi="Arial"/>
          <w:sz w:val="16"/>
          <w:szCs w:val="16"/>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maintain the reliability of our utility services or meet generation capacity obligations;</w:t>
      </w:r>
    </w:p>
    <w:p>
      <w:pPr>
        <w:spacing w:after="0" w:line="7" w:lineRule="exact"/>
        <w:rPr>
          <w:rFonts w:ascii="Times New Roman" w:cs="Times New Roman" w:eastAsia="Times New Roman" w:hAnsi="Times New Roman"/>
          <w:sz w:val="14"/>
          <w:szCs w:val="14"/>
          <w:color w:val="auto"/>
        </w:rPr>
      </w:pPr>
    </w:p>
    <w:p>
      <w:pPr>
        <w:ind w:left="500" w:hanging="240"/>
        <w:spacing w:after="0" w:line="235" w:lineRule="auto"/>
        <w:tabs>
          <w:tab w:leader="none" w:pos="50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4"/>
          <w:szCs w:val="14"/>
          <w:color w:val="auto"/>
        </w:rPr>
        <w:t>operating limitations that may be imposed by environmental or other regulatory requirements;</w:t>
      </w:r>
    </w:p>
    <w:p>
      <w:pPr>
        <w:spacing w:after="0" w:line="8" w:lineRule="exact"/>
        <w:rPr>
          <w:rFonts w:ascii="Arial" w:cs="Arial" w:eastAsia="Arial" w:hAnsi="Arial"/>
          <w:sz w:val="16"/>
          <w:szCs w:val="16"/>
          <w:color w:val="auto"/>
        </w:rPr>
      </w:pPr>
    </w:p>
    <w:p>
      <w:pPr>
        <w:ind w:left="500" w:hanging="240"/>
        <w:spacing w:after="0" w:line="238" w:lineRule="auto"/>
        <w:tabs>
          <w:tab w:leader="none" w:pos="50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4"/>
          <w:szCs w:val="14"/>
          <w:color w:val="auto"/>
        </w:rPr>
        <w:t>labor disputes;</w:t>
      </w:r>
    </w:p>
    <w:p>
      <w:pPr>
        <w:spacing w:after="0" w:line="8" w:lineRule="exact"/>
        <w:rPr>
          <w:rFonts w:ascii="Arial" w:cs="Arial" w:eastAsia="Arial" w:hAnsi="Arial"/>
          <w:sz w:val="16"/>
          <w:szCs w:val="16"/>
          <w:color w:val="auto"/>
        </w:rPr>
      </w:pPr>
    </w:p>
    <w:p>
      <w:pPr>
        <w:ind w:left="520" w:right="20" w:hanging="260"/>
        <w:spacing w:after="0" w:line="247" w:lineRule="auto"/>
        <w:tabs>
          <w:tab w:leader="none" w:pos="511"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4"/>
          <w:szCs w:val="14"/>
          <w:color w:val="auto"/>
        </w:rPr>
        <w:t>information technology or financial and billing system failures, including those due to the implementation and integration or failure of new technology (including AI technology), that impair our information technology infrastructure, reporting systems or disrupt normal business operations, affect our ability to access customer information or cause us to lose confidential or proprietary data that adversely affects our reputation or exposes us to legal claims;</w:t>
      </w:r>
    </w:p>
    <w:p>
      <w:pPr>
        <w:spacing w:after="0" w:line="1" w:lineRule="exact"/>
        <w:rPr>
          <w:rFonts w:ascii="Arial" w:cs="Arial" w:eastAsia="Arial" w:hAnsi="Arial"/>
          <w:sz w:val="16"/>
          <w:szCs w:val="16"/>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noncompliance, compliance mandates and penalties from our regulators;</w:t>
      </w:r>
    </w:p>
    <w:p>
      <w:pPr>
        <w:spacing w:after="0" w:line="8" w:lineRule="exact"/>
        <w:rPr>
          <w:rFonts w:ascii="Times New Roman" w:cs="Times New Roman" w:eastAsia="Times New Roman" w:hAnsi="Times New Roman"/>
          <w:sz w:val="14"/>
          <w:szCs w:val="14"/>
          <w:color w:val="auto"/>
        </w:rPr>
      </w:pPr>
    </w:p>
    <w:p>
      <w:pPr>
        <w:ind w:left="500" w:hanging="240"/>
        <w:spacing w:after="0" w:line="235" w:lineRule="auto"/>
        <w:tabs>
          <w:tab w:leader="none" w:pos="500"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4"/>
          <w:szCs w:val="14"/>
          <w:color w:val="auto"/>
        </w:rPr>
        <w:t>failure to obtain in a timely manner and at reasonable prices the necessary fuel, such as coal and natural gas, building materials or other items needed to operate our facilities; and</w:t>
      </w:r>
    </w:p>
    <w:p>
      <w:pPr>
        <w:spacing w:after="0" w:line="8" w:lineRule="exact"/>
        <w:rPr>
          <w:rFonts w:ascii="Arial" w:cs="Arial" w:eastAsia="Arial" w:hAnsi="Arial"/>
          <w:sz w:val="16"/>
          <w:szCs w:val="16"/>
          <w:color w:val="auto"/>
        </w:rPr>
      </w:pPr>
    </w:p>
    <w:p>
      <w:pPr>
        <w:ind w:left="520" w:hanging="260"/>
        <w:spacing w:after="0" w:line="252" w:lineRule="auto"/>
        <w:tabs>
          <w:tab w:leader="none" w:pos="511" w:val="left"/>
        </w:tabs>
        <w:numPr>
          <w:ilvl w:val="0"/>
          <w:numId w:val="21"/>
        </w:numPr>
        <w:rPr>
          <w:rFonts w:ascii="Arial" w:cs="Arial" w:eastAsia="Arial" w:hAnsi="Arial"/>
          <w:sz w:val="16"/>
          <w:szCs w:val="16"/>
          <w:color w:val="auto"/>
        </w:rPr>
      </w:pPr>
      <w:r>
        <w:rPr>
          <w:rFonts w:ascii="Times New Roman" w:cs="Times New Roman" w:eastAsia="Times New Roman" w:hAnsi="Times New Roman"/>
          <w:sz w:val="14"/>
          <w:szCs w:val="14"/>
          <w:color w:val="auto"/>
        </w:rPr>
        <w:t>catastrophic events such as fires, earthquakes, explosions, leaks, floods, droughts, hurricanes, tornados, derecho events, ice storms, terrorism, cybersecurity incidents, wildfires, public health emergencies (including pandemics), acts of war, military invasions, civil unrest, geopolitical conflict or other similar occurrences, including any environmental impacts related thereto, which catastrophic events may require participation in mutual assistance efforts by us or other utilities to assist in power restoration efforts, and for which our emergency preparedness plans may not be adequate or we may not respond effectively, which could result in public or employee harm.</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53" w:name="page54"/>
    <w:bookmarkEnd w:id="53"/>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Such events may result in a decrease or elimination of revenue from our facilities, an increase in the cost of operating our facilities, environmental or property damage, delays in cash collections, harm to our reputation, legal proceedings, less favorable legislative and regulatory outcomes, changes to policies, laws and regulations or increased regulatory oversight, any of which could have an adverse effect on our business, financial condition, results of operations and cash flows. Such events have and may in the future result in the imposition of regulatory or environmental fines and increased litigation.</w:t>
      </w:r>
    </w:p>
    <w:p>
      <w:pPr>
        <w:spacing w:after="0" w:line="160" w:lineRule="exact"/>
        <w:rPr>
          <w:sz w:val="20"/>
          <w:szCs w:val="20"/>
          <w:color w:val="auto"/>
        </w:rPr>
      </w:pPr>
    </w:p>
    <w:p>
      <w:pPr>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businesses will continue to have to adapt to, integrate and implement technological change and may not be successful implementing such technological change as designed or may have to make significant investments to adapt to and integrate technological change.</w:t>
      </w:r>
    </w:p>
    <w:p>
      <w:pPr>
        <w:spacing w:after="0" w:line="143"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4"/>
          <w:szCs w:val="14"/>
          <w:color w:val="auto"/>
        </w:rPr>
        <w:t>We operate businesses that require sophisticated data collection, processing systems, software and other technology. Some of the technologies supporting the industries we serve are changing rapidly and increasing in complexity. New technologies will emerge or evolve that may deliver superior capabilities to, or may not be compatible with, some of our existing technologies, and may require us to make significant investments so that we can continue to provide cost-effective and reliable technology solutions to support energy production and delivery. Our future success will depend, in part, on our ability to anticipate, adapt to, integrate and implement technological changes in a timely and cost-effective manner, to offer, on a timely basis, reliable services that meet customer demands and evolving industry standards and to recover all, or a significant portion of, any unrecovered investment, including obsolete assets. Accordingly, we periodically implement new or enhanced technology, including information systems. Implementation of such new technology, including information systems, can, and pursuant to certain projects included in our 10-year capital plan, will, require the commitment of significant, sufficiently skilled personnel, engagement of third parties, substantial capital investment and additional administration and operating expenses, and entails risks to our business operations. If the integration or implementation of technology, including information systems, as designed is delayed or unsuccessful, we may not realize anticipated productivity improvements or cost efficiencies and may experience interruptions in service and operational difficulties, which could adversely affect our business, financial condition, results of operations and cash flows. Our 10-year capital plan additionally calls for the rapid integration and implementation of new technologies such as advanced grid infrastructure, which increases exposure to potential grid instability and technology obsolescence. If we fail to successfully adapt to, integrate and implement a technological change, fail to obtain access to important technologies, incur significant expenditures in adapting to technological change, or if implemented technology does not operate as anticipated, our regulatory recovery could be negatively impacted and our businesses, financial condition, results of operations and cash flows could be adversely affected.</w:t>
      </w:r>
    </w:p>
    <w:p>
      <w:pPr>
        <w:spacing w:after="0" w:line="172" w:lineRule="exact"/>
        <w:rPr>
          <w:sz w:val="20"/>
          <w:szCs w:val="20"/>
          <w:color w:val="auto"/>
        </w:rPr>
      </w:pPr>
    </w:p>
    <w:p>
      <w:pPr>
        <w:ind w:right="20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insurance coverage may not be sufficient. Insufficient insurance coverage and increased insurance costs could adversely impact our business, financial condition, results of operations and cash flows.</w:t>
      </w:r>
    </w:p>
    <w:p>
      <w:pPr>
        <w:spacing w:after="0" w:line="14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We currently have insurance in place, such as general liability, excess liability and property insurance, to cover, among other things, certain of our facilities and third-party bodily injury in amounts that we consider appropriate. Such policies are subject to certain limits and deductibles and do not include business interruption coverage. Insurance coverage premiums continue to increase, and insurance coverage may not be available in the future at current costs or on commercially reasonable terms, and the insurance proceeds received for any loss of, or any damage to, any of our facilities may not be sufficient to fully cover or restore the loss or damage without negative impact on our business, financial condition, results of operations and cash flows. Certain types of damages, expenses or claimed costs, such as fines and penalties, have been in the past and may in the future be excluded under the policies. In addition, insurers providing insurance to us have in the past and may in the future dispute and raise defenses to coverage under the terms and conditions of the respective insurance policies, which can result in a denial of coverage or limit the amount of insurance proceeds available to us. Any losses for which we are not fully insured or that are not covered by insurance at all could adversely affect our business, financial condition, results of operations and cash flows. Costs, damages and other liabilities related to recent events and incidents that affected other utilities, such as wildfires, winter storms and explosions, among other things, have exceeded or could exceed such utilities’ insurance coverage. Further, as a result of these recent events and incidents, the marketplace for insurance coverage to utility companies may be unavailable or limited in capacity or any such available coverage may be deemed by us to be cost prohibitive under current conditions. Insurance premiums for any such coverage, if available, may not be eligible for recovery, whether in full or in part, by us through the rates charged by our utility businesses.</w:t>
      </w:r>
    </w:p>
    <w:p>
      <w:pPr>
        <w:spacing w:after="0" w:line="169"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In common with other companies in its line of business that serve coastal regions, Houston Electric does not have insurance covering its transmission and distribution system, other than substations, because Houston Electric believes it to be cost prohibitive and insurance capacity to be limited. Historically, Houston Electric has been able to recover the costs incurred in restoring its transmission and distribution properties following hurricanes or other disasters through issuance of storm restoration bonds or a change in its regulated rates or otherwise. In the future, any such recovery may not be granted. For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54" w:name="page55"/>
    <w:bookmarkEnd w:id="54"/>
    <w:p>
      <w:pPr>
        <w:ind w:right="40"/>
        <w:spacing w:after="0" w:line="264" w:lineRule="auto"/>
        <w:rPr>
          <w:sz w:val="20"/>
          <w:szCs w:val="20"/>
          <w:color w:val="auto"/>
        </w:rPr>
      </w:pPr>
      <w:r>
        <w:rPr>
          <w:rFonts w:ascii="Times New Roman" w:cs="Times New Roman" w:eastAsia="Times New Roman" w:hAnsi="Times New Roman"/>
          <w:sz w:val="14"/>
          <w:szCs w:val="14"/>
          <w:color w:val="auto"/>
        </w:rPr>
        <w:t>example, Houston Electric is seeking to recover the system restoration costs associated with Hurricane Beryl and certain other significant storms through the issuance and sale of non-recourse system restoration bonds. Although Houston Electric expects to receive the net proceeds from its offering of system restoration bonds on February 26, 2026, there can be no assurance that the system restoration costs will be recovered in the amounts expected or on the expected timeline. Therefore, Houston Electric may not be able to restore any loss of, or damage to, any of its transmission and distribution properties without negative impact on its business, financial condition, results of operations and cash flows.</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Global or regional health pandemics, epidemics or similar public health threats could negatively impact our business, financial condition, results of operations and cash flows.</w:t>
      </w:r>
    </w:p>
    <w:p>
      <w:pPr>
        <w:spacing w:after="0" w:line="202"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Public health threats, including pandemics and epidemics, and any third-party actions taken to contain the spread and mitigate the public health threats, have had and may in the future have widespread impacts on the global economy, our supply chain and our employees, customers and supply chain stakeholders. Any future health threat could have potentially material impacts on our business, financial condition, results of operations and cash flows. The ultimate impact of public health threats on our business depends on factors beyond our knowledge or control and we might not be able to predict or respond to all impacts on a timely basis to prevent near- or long-term adverse impacts to our business, financial condition, results of operations and cash flows.</w:t>
      </w:r>
    </w:p>
    <w:p>
      <w:pPr>
        <w:spacing w:after="0" w:line="160" w:lineRule="exact"/>
        <w:rPr>
          <w:sz w:val="20"/>
          <w:szCs w:val="20"/>
          <w:color w:val="auto"/>
        </w:rPr>
      </w:pPr>
    </w:p>
    <w:p>
      <w:pPr>
        <w:ind w:right="160"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attract, motivate and retain an appropriately qualified workforce, identify and develop top talent to succeed senior management and maintain good labor relations could adversely impact the operations of our facilities and our business, financial condition, results of operations and cash flows.</w:t>
      </w:r>
    </w:p>
    <w:p>
      <w:pPr>
        <w:spacing w:after="0" w:line="143"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4"/>
          <w:szCs w:val="14"/>
          <w:color w:val="auto"/>
        </w:rPr>
        <w:t>Our businesses and ability to implement our strategies are dependent on recruiting, retaining and motivating employees, including senior executive officers and other key personnel. Like many companies in the utilities industry and other industries, we have experienced higher than normal turnover of employees as a result of a number of factors, including a tightening labor market, remote working opportunities, employees shifting industries, individuals deciding not to work and a maturing workforce. Of our employee population, not including employees of Energy Systems Group prior to its divestiture on June 30, 2023 or temporary employees, 17.1%, 18.2%, and 18.7% were retirement eligible as of December 31, 2025, 2024, and 2023, respectively. Certain circumstances, such as an aging workforce without appropriate replacements, a mismatch of existing skillsets to future needs, increased turnover or the unavailability of contract resources, may lead to operating challenges such as a lack of resources, loss of knowledge or a lengthy time period associated with skill development. Our costs, including costs to replace employees, productivity costs, health care costs and safety costs, may rise and may not be recoverable in rates. Failure to hire and adequately train replacement employees, including the transfer of significant internal historical knowledge and expertise to the new employees, or the future availability and cost of sufficiently skilled contract labor may lead to safety concerns and adversely affect the ability to manage and operate our businesses, particularly the specialized skills and knowledge required to construct and operate generation facilities, a technology-enabled power grid and transmission and distribution infrastructure, among other facilities. Additionally, further tightening of the labor market and increasing wages may adversely affect our ability to attract, transition and retain key personnel, which could, in turn, negatively impact our ability to identify, motivate and develop talent to succeed senior management. If we are unable to successfully attract and retain an appropriately qualified workforce and conduct appropriate senior management succession planning, our ability to execute on our 10-year capital plan and our business, financial condition, results of operations and cash flows could be negatively affected.</w:t>
      </w:r>
    </w:p>
    <w:p>
      <w:pPr>
        <w:spacing w:after="0" w:line="174"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Furthermore, the operations of our facilities depend on good labor relations with our employees, and several of our businesses have in place collective bargaining agreements with various labor unions, comprising approximately 42% of our workforce. We have several separate bargaining units, each with a unique collective bargaining agreement described further in Note 8(j) to the consolidated financial statements, which information is incorporated herein by reference. The collective bargaining agreements with IBEW Locals 1393 and USW Locals 12213 &amp; 7441 related to Indiana Gas employees, as well as with IBEW Local 66 related to Houston Electric employees, are scheduled to expire in December 2026 (IBEW Local 1393 &amp; USW Locals 12213 &amp; 7441) and May 2026 (IBEW Local 66), and negotiations of these agreements are expected to be completed before the respective expirations. The collective bargaining agreement with OPEIU Local 12 related primarily to CERC employees in Minnesota expired in December 2025 and negotiations are ongoing. Any failure to reach an agreement on new labor contracts or to negotiate these labor contracts might result in strikes, boycotts or other labor disruptions. These potential labor disruptions could have an adverse effect on our businesses, financial condition, results of operations and cash flows. Labor disruptions, strikes or significant negotiated wage and benefit increases, whether due to union activities, employee turnover or otherwise, could have an adverse effect on our businesses,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5" w:name="page56"/>
    <w:bookmarkEnd w:id="55"/>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20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processes for assessing, identifying, and managing material risks from cybersecurity threats are part of our overall enterprise risk management system and processes. Enterprise risks, including cybersecurity risks, and their associated mitigations are reviewed at least annually by senior management and the Board. Throughout the year, we regularly assess our cybersecurity program and continue to invest in hardening and maturing our cybersecurity measures as further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Strategy and Processes</w:t>
      </w:r>
    </w:p>
    <w:p>
      <w:pPr>
        <w:spacing w:after="0" w:line="202"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We maintain a cybersecurity program to help us assess, identify, and manage cybersecurity risks to our systems and data, including to help us defend against and mitigate emerging and existing cybersecurity threats to our information technology and operational technology systems. Our strategies and processes for managing cybersecurity risks are informed by relevant industry frameworks and laws, regulations and standards applicable to us in the jurisdictions in which we do business, including those applicable to utilities that operate bulk electric systems or critical pipeline facilities. We maintain various policies, procedures, technologies and other controls to help prevent, detect, mitigate and manage cybersecurity threats and incidents. We also use third-party consultants and service providers to support our risk management efforts, such as services for cybersecurity intelligence, monitoring, testing and assessments.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Key aspects of our risk management processes include:</w:t>
      </w:r>
    </w:p>
    <w:p>
      <w:pPr>
        <w:spacing w:after="0" w:line="200" w:lineRule="exact"/>
        <w:rPr>
          <w:sz w:val="20"/>
          <w:szCs w:val="20"/>
          <w:color w:val="auto"/>
        </w:rPr>
      </w:pPr>
    </w:p>
    <w:p>
      <w:pPr>
        <w:jc w:val="both"/>
        <w:ind w:left="520" w:right="40" w:hanging="260"/>
        <w:spacing w:after="0" w:line="270"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Threat Monitoring</w:t>
      </w:r>
      <w:r>
        <w:rPr>
          <w:rFonts w:ascii="Times New Roman" w:cs="Times New Roman" w:eastAsia="Times New Roman" w:hAnsi="Times New Roman"/>
          <w:sz w:val="14"/>
          <w:szCs w:val="14"/>
          <w:color w:val="auto"/>
        </w:rPr>
        <w:t>. We receive information on emerging cybersecurity threats and vulnerabilities from different sources, including vendors, cybersecurity organizations and U.S. government agencies, to help support our ability to detect and defend against threats to the security of our information technology and operational technology systems. We maintain several cybersecurity monitoring tools and services to help us detect unauthorized activities involving our systems and potential cybersecurity threats and vulnerabilities to our systems.</w:t>
      </w:r>
    </w:p>
    <w:p>
      <w:pPr>
        <w:spacing w:after="0" w:line="156" w:lineRule="exact"/>
        <w:rPr>
          <w:rFonts w:ascii="Times New Roman" w:cs="Times New Roman" w:eastAsia="Times New Roman" w:hAnsi="Times New Roman"/>
          <w:sz w:val="14"/>
          <w:szCs w:val="14"/>
          <w:color w:val="auto"/>
        </w:rPr>
      </w:pPr>
    </w:p>
    <w:p>
      <w:pPr>
        <w:ind w:left="520" w:right="20" w:hanging="260"/>
        <w:spacing w:after="0" w:line="26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Incident Response</w:t>
      </w:r>
      <w:r>
        <w:rPr>
          <w:rFonts w:ascii="Times New Roman" w:cs="Times New Roman" w:eastAsia="Times New Roman" w:hAnsi="Times New Roman"/>
          <w:sz w:val="14"/>
          <w:szCs w:val="14"/>
          <w:color w:val="auto"/>
        </w:rPr>
        <w:t>. We maintain a Cybersecurity Operations Center that is dedicated to monitoring for cybersecurity threats to our systems and responding to potential cybersecurity incidents. We also maintain cybersecurity incident response plans that establish a cross-functional incident response team and processes to guide our response to cybersecurity incidents, including processes for reporting and escalating cybersecurity incidents to senior management and the Audit Committee or the Board, as appropriate. We conduct tabletop exercises regularly to test our incident response processes.</w:t>
      </w:r>
    </w:p>
    <w:p>
      <w:pPr>
        <w:spacing w:after="0" w:line="161" w:lineRule="exact"/>
        <w:rPr>
          <w:rFonts w:ascii="Times New Roman" w:cs="Times New Roman" w:eastAsia="Times New Roman" w:hAnsi="Times New Roman"/>
          <w:sz w:val="14"/>
          <w:szCs w:val="14"/>
          <w:color w:val="auto"/>
        </w:rPr>
      </w:pPr>
    </w:p>
    <w:p>
      <w:pPr>
        <w:ind w:left="520" w:right="60" w:hanging="260"/>
        <w:spacing w:after="0" w:line="26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Assessments, Testing and Audits</w:t>
      </w:r>
      <w:r>
        <w:rPr>
          <w:rFonts w:ascii="Times New Roman" w:cs="Times New Roman" w:eastAsia="Times New Roman" w:hAnsi="Times New Roman"/>
          <w:sz w:val="14"/>
          <w:szCs w:val="14"/>
          <w:color w:val="auto"/>
        </w:rPr>
        <w:t>. We conduct different types of security assessments, testing and audits to help us proactively identify and mitigate potential cybersecurity threats and vulnerabilities to our information technology and operational technology systems. For example, we conduct security-related risk assessments on proposed software, hardware and third-party technology solutions used by CenterPoint Energy prior to deployment in our network. We also undergo periodic vulnerability assessments, penetration tests and cybersecurity reviews of our systems and security controls. We engage third parties to support certain of these assessments and tests and to provide guidance and support to our cybersecurity management team. Our internal audit team also conducts audits of certain CenterPoint Energy systems and data security controls.</w:t>
      </w:r>
    </w:p>
    <w:p>
      <w:pPr>
        <w:spacing w:after="0" w:line="164" w:lineRule="exact"/>
        <w:rPr>
          <w:rFonts w:ascii="Times New Roman" w:cs="Times New Roman" w:eastAsia="Times New Roman" w:hAnsi="Times New Roman"/>
          <w:sz w:val="14"/>
          <w:szCs w:val="14"/>
          <w:color w:val="auto"/>
        </w:rPr>
      </w:pPr>
    </w:p>
    <w:p>
      <w:pPr>
        <w:ind w:left="520" w:right="220" w:hanging="260"/>
        <w:spacing w:after="0" w:line="26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Third-Party Risk Management</w:t>
      </w:r>
      <w:r>
        <w:rPr>
          <w:rFonts w:ascii="Times New Roman" w:cs="Times New Roman" w:eastAsia="Times New Roman" w:hAnsi="Times New Roman"/>
          <w:sz w:val="14"/>
          <w:szCs w:val="14"/>
          <w:color w:val="auto"/>
        </w:rPr>
        <w:t>. We maintain a vendor risk management program, a component of which assesses the cybersecurity and data privacy practices of certain third-party service providers to help us assess and manage cybersecurity risks associated with third-party access to our systems and data. To help identify and mitigate third-party cybersecurity risks, we conduct vendor security reviews and privacy impact assessments when deemed appropriate based on the nature of the systems and data that will be accessed by the third-party. We also impose contractual obligations on certain of our service providers related to data privacy, confidentiality and security based on, among other factors, their extent of access to our data and systems and the nature and sensitivity of the data and systems to which they have access.</w:t>
      </w:r>
    </w:p>
    <w:p>
      <w:pPr>
        <w:spacing w:after="0" w:line="164"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Training and Awareness</w:t>
      </w:r>
      <w:r>
        <w:rPr>
          <w:rFonts w:ascii="Times New Roman" w:cs="Times New Roman" w:eastAsia="Times New Roman" w:hAnsi="Times New Roman"/>
          <w:sz w:val="14"/>
          <w:szCs w:val="14"/>
          <w:color w:val="auto"/>
        </w:rPr>
        <w:t>. We hold regular employee trainings on privacy, cybersecurity, AI and records and information management, conduct simulated phishing tests, and generally seek to promote awareness of cybersecurity risk through communication and education of our employee population.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6" w:name="page57"/>
    <w:bookmarkEnd w:id="56"/>
    <w:p>
      <w:pPr>
        <w:ind w:firstLine="255"/>
        <w:spacing w:after="0" w:line="259" w:lineRule="auto"/>
        <w:rPr>
          <w:sz w:val="20"/>
          <w:szCs w:val="20"/>
          <w:color w:val="auto"/>
        </w:rPr>
      </w:pPr>
      <w:r>
        <w:rPr>
          <w:rFonts w:ascii="Times New Roman" w:cs="Times New Roman" w:eastAsia="Times New Roman" w:hAnsi="Times New Roman"/>
          <w:sz w:val="14"/>
          <w:szCs w:val="14"/>
          <w:color w:val="auto"/>
        </w:rPr>
        <w:t>As described in Item 1A “Risk Factors,” our operations rely on the secure processing, storage, and transmission of confidential, sensitive and other information within our computer systems and networks. Computer viruses, threat actors, employee or vendor incidents and other external hazards could expose our information systems, and those of third parties who process our data, provide access to systems or that have access to our systems, to security breaches, cybersecurity incidents or other disruptions, any of which could materially and adversely affect our business, reputation, results of operations and financial condition, and subject us to possible legal claims and liability. While we have experienced cybersecurity incidents in the past, as of the date of the filing of this Form 10-K, CenterPoint Energy has not identified any cybersecurity threats that have materially affected or are reasonably anticipated to have a material effect on us, including our business strategy, results of operations, or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of Directors Oversight</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Our Audit Committee, comprised of independent directors from our Board, oversees the Board’s responsibilities relating to CenterPoint Energy’s cybersecurity, data privacy and AI programs, including cybersecurity and AI risk management and cybersecurity disclosures required by applicable securities laws or regulations, as appropriate. As part of its risk oversight responsibilities, the Audit Committee receives quarterly reports from our Executive Vice President and General Counsel, Chief Security Officer (CSO) or other representatives from our cybersecurity or data privacy groups and periodic reports from our third-party consultants. These reports include updates on certain cybersecurity or data privacy matters, including, among other items, CenterPoint Energy’s progress in maturing its cybersecurity program, results of cybersecurity assessments and testing, the cybersecurity landscape and emerging threats, status of ongoing initiatives and strategies, incident reports and learnings from any cybersecurity events, compliance with regulatory requirements and industry standards, data privacy matters, and the cybersecurity budget.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Personnel</w:t>
      </w:r>
    </w:p>
    <w:p>
      <w:pPr>
        <w:spacing w:after="0" w:line="20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CenterPoint Energy’s Executive Vice President and General Counsel is responsible for overseeing our cybersecurity and data privacy programs. CenterPoint Energy’s CSO is responsible for the day-to-day management of our cybersecurity program and reports directly to the Executive Vice President and General Counsel. CenterPoint Energy’s Senior Vice President, Deputy General Counsel, and Chief Ethics &amp; Compliance Officer (CECO) is responsible for day-to-day management of our data privacy program and also reports directly to the Executive Vice President and General Counsel. Our cybersecurity and data privacy teams, which report directly to our CSO and CECO, respectively, are tasked with implementing our programs in support of cybersecurity and data privacy risk management. We also have management-level teams and committees, which include and/or collaborate with our CSO and CECO, that support, among other things, our processes to assess and manage cybersecurity risk. These teams and committees provide summary reports on their activities and initiatives to appropriate senior executives, including the Executive Vice President and General Counsel and the Audit Committee or the Board, as appropriate.</w:t>
      </w:r>
    </w:p>
    <w:p>
      <w:pPr>
        <w:spacing w:after="0" w:line="168"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CenterPoint Energy’s CSO joined CenterPoint Energy in September 2025 and has over two decades of experience in cybersecurity and risk management across diverse industries, and most recently served in senior leadership roles, including Chief Information Security Officer, for a global engineering, procurement, consulting and construction company. Our Executive Vice President and General Counsel has significant risk management, governance and litigation experience, which we believe are important leadership skills to help incorporate risk management, legal, disclosure and governance perspectives into the design of our cybersecurity program and in evaluating and responding to potential cybersecurity incidents.</w:t>
      </w:r>
    </w:p>
    <w:p>
      <w:pPr>
        <w:spacing w:after="0" w:line="16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is based on the Registrants’ businesses as of December 31, 2025.</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Character of Ownership</w:t>
      </w:r>
    </w:p>
    <w:p>
      <w:pPr>
        <w:spacing w:after="0" w:line="202"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We lease or own our principal properties in fee, including our corporate office space and various real property. Most of our electric lines and natural gas mains are located, pursuant to easements and other rights, on public roads or on land owned by others.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57" w:name="page58"/>
    <w:bookmarkEnd w:id="57"/>
    <w:p>
      <w:pPr>
        <w:ind w:left="140"/>
        <w:spacing w:after="0"/>
        <w:rPr>
          <w:sz w:val="20"/>
          <w:szCs w:val="20"/>
          <w:color w:val="auto"/>
        </w:rPr>
      </w:pPr>
      <w:r>
        <w:rPr>
          <w:rFonts w:ascii="Times New Roman" w:cs="Times New Roman" w:eastAsia="Times New Roman" w:hAnsi="Times New Roman"/>
          <w:sz w:val="14"/>
          <w:szCs w:val="14"/>
          <w:b w:val="1"/>
          <w:bCs w:val="1"/>
          <w:color w:val="auto"/>
        </w:rPr>
        <w:t>Electric (CenterPoint Energy and Houston Electric)</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Properties</w:t>
      </w:r>
    </w:p>
    <w:p>
      <w:pPr>
        <w:spacing w:after="0" w:line="202"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All of Houston Electric’s properties are located in Texas. Its properties consist primarily of high-voltage electric transmission lines and poles, distribution lines, substations, service centers, service wires, telecommunications networks and meters. Most of Houston Electric’s transmission and distribution lines have been constructed over lands of others pursuant to easements or along public highways and streets under franchise agreements and as permitted by law. All real and tangible properties of Houston Electric, subject to certain exclusions, are currently subject to the lien of the M&amp;DOT and the lien of the General Mortgage, which is junior to the lien of the M&amp;DOT. No first mortgage bonds are outstanding under the M&amp;DOT and Houston Electric is contractually obligated to not issue any additional first mortgage bonds under the M&amp;DOT. Houston Electric is undertaking actions to release the lien of the M&amp;DOT and terminate the M&amp;DOT. For information related to debt outstanding under the General Mortgage, see Note 12 to the consolidated financial statements.</w:t>
      </w:r>
    </w:p>
    <w:p>
      <w:pPr>
        <w:spacing w:after="0" w:line="167"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Indiana Electric’s properties are primarily located in Indiana. They consist of transmission lines in Indiana and Kentucky, distribution lines, substations, service centers, coal-fired generating facilities, gas-fired turbine peaking units, a landfill gas electric generation facility and solar generation facilities. All real and tangible properties of Indiana Electric, subject to certain exclusions, are currently subject to the lien of the Amended and Restated Mortgage Indenture dated as of January 1, 2023, between SIGECO (Indiana Electric) and Deutsche Bank Trust Company Americas (formerly known as Bankers Trust Company), as Trustee. For information related to debt outstanding under the Amended and Restated Mortgage Indenture, see Note 12 to the consolidated financial statements.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Electric Lines - Transmission and Distribution. </w:t>
      </w:r>
      <w:r>
        <w:rPr>
          <w:rFonts w:ascii="Times New Roman" w:cs="Times New Roman" w:eastAsia="Times New Roman" w:hAnsi="Times New Roman"/>
          <w:sz w:val="14"/>
          <w:szCs w:val="14"/>
          <w:color w:val="auto"/>
        </w:rPr>
        <w:t>As of December 31, 2025, Houston Electric and Indiana Electric owned and operated the following electric transmission and distribution lines: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3"/>
                <w:szCs w:val="13"/>
                <w:b w:val="1"/>
                <w:bCs w:val="1"/>
                <w:color w:val="auto"/>
              </w:rPr>
              <w:t>Indiana Electric</w:t>
            </w:r>
          </w:p>
        </w:tc>
        <w:tc>
          <w:tcPr>
            <w:tcW w:w="1460" w:type="dxa"/>
            <w:vAlign w:val="bottom"/>
            <w:tcBorders>
              <w:bottom w:val="single" w:sz="8" w:color="auto"/>
            </w:tcBorders>
          </w:tcPr>
          <w:p>
            <w:pPr>
              <w:spacing w:after="0"/>
              <w:rPr>
                <w:sz w:val="14"/>
                <w:szCs w:val="14"/>
                <w:color w:val="auto"/>
              </w:rPr>
            </w:pPr>
          </w:p>
        </w:tc>
      </w:tr>
      <w:tr>
        <w:trPr>
          <w:trHeight w:val="164"/>
        </w:trPr>
        <w:tc>
          <w:tcPr>
            <w:tcW w:w="3140" w:type="dxa"/>
            <w:vAlign w:val="bottom"/>
            <w:gridSpan w:val="2"/>
          </w:tcPr>
          <w:p>
            <w:pPr>
              <w:ind w:left="12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Overhead Lines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w w:val="96"/>
              </w:rPr>
              <w:t>Underground Lines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Indiana</w:t>
            </w:r>
          </w:p>
        </w:tc>
        <w:tc>
          <w:tcPr>
            <w:tcW w:w="14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Kentucky (1)</w:t>
            </w:r>
          </w:p>
        </w:tc>
      </w:tr>
      <w:tr>
        <w:trPr>
          <w:trHeight w:val="160"/>
        </w:trPr>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Transmission lines:</w:t>
            </w:r>
          </w:p>
        </w:tc>
        <w:tc>
          <w:tcPr>
            <w:tcW w:w="1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Circuit Miles)</w:t>
            </w:r>
          </w:p>
        </w:tc>
        <w:tc>
          <w:tcPr>
            <w:tcW w:w="1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r>
        <w:trPr>
          <w:trHeight w:val="171"/>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69 kV</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138 kV</w:t>
            </w:r>
          </w:p>
        </w:tc>
        <w:tc>
          <w:tcPr>
            <w:tcW w:w="1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345 kV</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39"/>
        </w:trPr>
        <w:tc>
          <w:tcPr>
            <w:tcW w:w="3140" w:type="dxa"/>
            <w:vAlign w:val="bottom"/>
            <w:gridSpan w:val="2"/>
          </w:tcPr>
          <w:p>
            <w:pPr>
              <w:ind w:left="400"/>
              <w:spacing w:after="0" w:line="139" w:lineRule="exact"/>
              <w:rPr>
                <w:sz w:val="20"/>
                <w:szCs w:val="20"/>
                <w:color w:val="auto"/>
              </w:rPr>
            </w:pPr>
            <w:r>
              <w:rPr>
                <w:rFonts w:ascii="Times New Roman" w:cs="Times New Roman" w:eastAsia="Times New Roman" w:hAnsi="Times New Roman"/>
                <w:sz w:val="13"/>
                <w:szCs w:val="13"/>
                <w:color w:val="auto"/>
              </w:rPr>
              <w:t>Total</w:t>
            </w:r>
          </w:p>
        </w:tc>
        <w:tc>
          <w:tcPr>
            <w:tcW w:w="14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3,899</w:t>
            </w:r>
          </w:p>
        </w:tc>
        <w:tc>
          <w:tcPr>
            <w:tcW w:w="100" w:type="dxa"/>
            <w:vAlign w:val="bottom"/>
          </w:tcPr>
          <w:p>
            <w:pPr>
              <w:spacing w:after="0"/>
              <w:rPr>
                <w:sz w:val="12"/>
                <w:szCs w:val="12"/>
                <w:color w:val="auto"/>
              </w:rPr>
            </w:pPr>
          </w:p>
        </w:tc>
        <w:tc>
          <w:tcPr>
            <w:tcW w:w="15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1,030</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25</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7"/>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 lines</w:t>
            </w:r>
          </w:p>
        </w:tc>
        <w:tc>
          <w:tcPr>
            <w:tcW w:w="14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29,718</w:t>
            </w: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29,841</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7,174</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assets interconnect with Louisville Gas and Electric Company’s transmission system at Cloverport, Kentucky and with Big Rivers Electric Cooperative at Sebree, Kentucky.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4"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8" w:name="page59"/>
    <w:bookmarkEnd w:id="58"/>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Generating Capacity. </w:t>
      </w:r>
      <w:r>
        <w:rPr>
          <w:rFonts w:ascii="Times New Roman" w:cs="Times New Roman" w:eastAsia="Times New Roman" w:hAnsi="Times New Roman"/>
          <w:sz w:val="14"/>
          <w:szCs w:val="14"/>
          <w:color w:val="auto"/>
        </w:rPr>
        <w:t>As of December 31, 2025, Indiana Electric had 1,228 MW of installed generating capacity, as set forth in the following table:</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82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3"/>
                <w:szCs w:val="13"/>
                <w:b w:val="1"/>
                <w:bCs w:val="1"/>
                <w:color w:val="auto"/>
              </w:rPr>
              <w:t>Generation Source</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Unit No.</w:t>
            </w:r>
          </w:p>
        </w:tc>
        <w:tc>
          <w:tcPr>
            <w:tcW w:w="2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Date in Service</w:t>
            </w: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0" w:type="dxa"/>
            <w:vAlign w:val="bottom"/>
          </w:tcPr>
          <w:p>
            <w:pPr>
              <w:spacing w:after="0"/>
              <w:rPr>
                <w:sz w:val="1"/>
                <w:szCs w:val="1"/>
                <w:color w:val="auto"/>
              </w:rPr>
            </w:pPr>
          </w:p>
        </w:tc>
      </w:tr>
      <w:tr>
        <w:trPr>
          <w:trHeight w:val="169"/>
        </w:trPr>
        <w:tc>
          <w:tcPr>
            <w:tcW w:w="48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(MW)</w:t>
            </w:r>
          </w:p>
        </w:tc>
        <w:tc>
          <w:tcPr>
            <w:tcW w:w="0" w:type="dxa"/>
            <w:vAlign w:val="bottom"/>
          </w:tcPr>
          <w:p>
            <w:pPr>
              <w:spacing w:after="0"/>
              <w:rPr>
                <w:sz w:val="1"/>
                <w:szCs w:val="1"/>
                <w:color w:val="auto"/>
              </w:rPr>
            </w:pPr>
          </w:p>
        </w:tc>
      </w:tr>
      <w:tr>
        <w:trPr>
          <w:trHeight w:val="162"/>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Coal</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F.B. Culley (1)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Warrick County, Indiana</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1966</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F.B. Culley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Warrick County,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1973</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58"/>
        </w:trPr>
        <w:tc>
          <w:tcPr>
            <w:tcW w:w="48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Coal Capacity</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Gas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Brown (2)</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Posey County, Indiana</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1991</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Brown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Posey County,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2002</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6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Brown</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Posey County, Indiana</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Brown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6</w:t>
            </w: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Posey County,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Renewable Landfill Gas</w:t>
            </w: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Pike County, Indiana</w:t>
            </w: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2"/>
              </w:rPr>
              <w:t>2009</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4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Gas Capacity</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0" w:type="dxa"/>
            <w:vAlign w:val="bottom"/>
          </w:tcPr>
          <w:p>
            <w:pPr>
              <w:spacing w:after="0"/>
              <w:rPr>
                <w:sz w:val="1"/>
                <w:szCs w:val="1"/>
                <w:color w:val="auto"/>
              </w:rPr>
            </w:pPr>
          </w:p>
        </w:tc>
      </w:tr>
      <w:tr>
        <w:trPr>
          <w:trHeight w:val="169"/>
        </w:trPr>
        <w:tc>
          <w:tcPr>
            <w:tcW w:w="4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Solar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Oak Hill</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Evansville,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2018</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Volkman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Evansville, Indiana</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2018</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Troy</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Spencer County,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Posey</w:t>
            </w: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Posey County, Indiana</w:t>
            </w: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160"/>
        </w:trPr>
        <w:tc>
          <w:tcPr>
            <w:tcW w:w="4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Solar Capacity</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63"/>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Total Generating Capacity (3)</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20" w:right="80" w:hanging="260"/>
        <w:spacing w:after="0" w:line="243" w:lineRule="auto"/>
        <w:tabs>
          <w:tab w:leader="none" w:pos="51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Indiana Electric’s 2025 IRP (similar to previous IRPs) preferred portfolios included the retirement of F.B. Culley Unit 2, a coal-fired generation unit, by the end of 2025, the U.S. Department of Energy issued an emergency 202(c) order in December 2025 directing Indiana Electric to continue operating the unit through March 23, 2026. For further information about F.B. Culley 2, see “Management’s Discussion and Analysis of Financial Condition and Results of Operations — Liquidity and Capital Resources — Regulatory Matters” in Item 7 of Part II of this report, which discussion is incorporated herein by reference.</w:t>
      </w:r>
    </w:p>
    <w:p>
      <w:pPr>
        <w:ind w:left="500" w:hanging="24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Brown Unit 3 is also equipped to burn oil.</w:t>
      </w:r>
    </w:p>
    <w:p>
      <w:pPr>
        <w:spacing w:after="0" w:line="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1.5% participation in OVEC. See Item 1. Business for more details.</w:t>
      </w:r>
    </w:p>
    <w:p>
      <w:pPr>
        <w:spacing w:after="0" w:line="183"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Natural Gas Combustion Turbines. </w:t>
      </w:r>
      <w:r>
        <w:rPr>
          <w:rFonts w:ascii="Times New Roman" w:cs="Times New Roman" w:eastAsia="Times New Roman" w:hAnsi="Times New Roman"/>
          <w:sz w:val="14"/>
          <w:szCs w:val="14"/>
          <w:color w:val="auto"/>
        </w:rPr>
        <w:t>In 2022, Indiana Electric received approval from the IURC for a CPCN seeking approval to construct two natural gas combustion turbines to replace portions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its existing coal-fired generation fleet. In the second quarter of 2025, 230 MW of the facility was placed in service, and due to a transformer manufacturing issue, the remaining 230 MW of the facility was placed in service in the third quarter of 2025. For further information, see “Management’s Discussion and Analysis of Financial Condition and Results of Operations — Liquidity and Capital Resources — Regulatory Matters” in Item 7 of Part II of this report, which discussion is incorporated herein by reference.</w:t>
      </w:r>
    </w:p>
    <w:p>
      <w:pPr>
        <w:spacing w:after="0" w:line="159"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Solar. </w:t>
      </w:r>
      <w:r>
        <w:rPr>
          <w:rFonts w:ascii="Times New Roman" w:cs="Times New Roman" w:eastAsia="Times New Roman" w:hAnsi="Times New Roman"/>
          <w:sz w:val="14"/>
          <w:szCs w:val="14"/>
          <w:color w:val="auto"/>
        </w:rPr>
        <w:t>On February 7, 2023, Indiana Electric filed a CPCN with the IURC to approve an amended BTA to purchase the 191 MW Posey Solar project. On September 6, 2023, the IURC issued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order approving the CPCN. On March 7, 2025, SIGECO completed the acquisition of Posey Solar. The Posey Solar project was placed in service in the second quarter of 2025. For further information about Indiana Electric’s BTAs, see “Management’s Discussion and Analysis of Financial Condition and Results of Operations — Liquidity and Capital Resources — Regulatory Matters” in Item 7 of Part II of this report, which discussion is incorporated herein by reference.</w:t>
      </w:r>
    </w:p>
    <w:p>
      <w:pPr>
        <w:spacing w:after="0" w:line="159"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TEEEF. </w:t>
      </w:r>
      <w:r>
        <w:rPr>
          <w:rFonts w:ascii="Times New Roman" w:cs="Times New Roman" w:eastAsia="Times New Roman" w:hAnsi="Times New Roman"/>
          <w:sz w:val="14"/>
          <w:szCs w:val="14"/>
          <w:color w:val="auto"/>
        </w:rPr>
        <w:t>As allowed by a law enacted by the Texas legislature after the February 2021 Winter Storm Event and amended in 2023, Houston Electric entered into leases for 15 large (27 MW to 32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MW) and five medium (5.7 MW) TEEEF. In June 2025, Houston Electric entered into the ERCOT Transaction, subject to PUCT approval, to release its large TEEEF units to ERCOT at CPS Energy facilities to serve the greater San Antonio region until March 2027 unless terminated earlier pursuant to the provisions of the ERCOT Transaction, reduce its TEEEF fleet capacity and reduce its rates to reflect the removal of the large TEEEF units from its fleet. In November 2025, Houston Electric also proposed to release the five medium (5.7 MW) TEEEF units from its TEEEF fleet and remove the associated lease costs effective January 1, 2026. On February 13, 2026, Houston Electric requested continued abatement until February 27, 2026 due to continued settlement discussions. As of December 31, 2025, Houston Electric leased 519 MW of TEEEF on a long-term basis. For more information, see Note 7 and Note 19 to the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59" w:name="page60"/>
    <w:bookmarkEnd w:id="59"/>
    <w:p>
      <w:pPr>
        <w:ind w:right="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Substations. </w:t>
      </w:r>
      <w:r>
        <w:rPr>
          <w:rFonts w:ascii="Times New Roman" w:cs="Times New Roman" w:eastAsia="Times New Roman" w:hAnsi="Times New Roman"/>
          <w:sz w:val="14"/>
          <w:szCs w:val="14"/>
          <w:color w:val="auto"/>
        </w:rPr>
        <w:t>A substation is a facility that transforms electricity from a higher voltage to a lower voltage or vice versa. Generally, this facility is the interface between the transmission system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distribution grid. The following table presents certain information related to CenterPoint Energy’s substations as of 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Transformer Capacity (in</w:t>
            </w:r>
          </w:p>
        </w:tc>
      </w:tr>
      <w:tr>
        <w:trPr>
          <w:trHeight w:val="191"/>
        </w:trPr>
        <w:tc>
          <w:tcPr>
            <w:tcW w:w="778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of Substations</w:t>
            </w:r>
          </w:p>
        </w:tc>
        <w:tc>
          <w:tcPr>
            <w:tcW w:w="170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Mva)</w:t>
            </w:r>
          </w:p>
        </w:tc>
      </w:tr>
      <w:tr>
        <w:trPr>
          <w:trHeight w:val="16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74,665</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Indiana Electric</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7,027</w:t>
            </w:r>
          </w:p>
        </w:tc>
      </w:tr>
      <w:tr>
        <w:trPr>
          <w:trHeight w:val="188"/>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CenterPoint Energy</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right="1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Service Centers. </w:t>
      </w:r>
      <w:r>
        <w:rPr>
          <w:rFonts w:ascii="Times New Roman" w:cs="Times New Roman" w:eastAsia="Times New Roman" w:hAnsi="Times New Roman"/>
          <w:sz w:val="14"/>
          <w:szCs w:val="14"/>
          <w:color w:val="auto"/>
        </w:rPr>
        <w:t>Service centers consist of office buildings, warehouses and repair facilities that are used in the business of transmitting and distributing electricity. The following table presents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information related to CenterPoint Energy’s service centers as of December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1400" w:type="dxa"/>
            <w:vAlign w:val="bottom"/>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Acres of Land</w:t>
            </w:r>
          </w:p>
        </w:tc>
        <w:tc>
          <w:tcPr>
            <w:tcW w:w="0" w:type="dxa"/>
            <w:vAlign w:val="bottom"/>
          </w:tcPr>
          <w:p>
            <w:pPr>
              <w:spacing w:after="0"/>
              <w:rPr>
                <w:sz w:val="1"/>
                <w:szCs w:val="1"/>
                <w:color w:val="auto"/>
              </w:rPr>
            </w:pPr>
          </w:p>
        </w:tc>
      </w:tr>
      <w:tr>
        <w:trPr>
          <w:trHeight w:val="169"/>
        </w:trPr>
        <w:tc>
          <w:tcPr>
            <w:tcW w:w="77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8"/>
              </w:rPr>
              <w:t>Service Centers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Indiana Electric</w:t>
            </w:r>
          </w:p>
        </w:tc>
        <w:tc>
          <w:tcPr>
            <w:tcW w:w="1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83"/>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CenterPoint Energy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Natural Gas (CenterPoint Energy and CERC)</w:t>
      </w:r>
    </w:p>
    <w:p>
      <w:pPr>
        <w:spacing w:after="0" w:line="2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and CERC’s natural gas distribution businesses use various third-party storage services or owned natural gas storage facilities to meet peak-day requirements and to manage the daily changes in demand due to changes in weather. CenterPoint Energy’s and CERC’s natural gas distribution businesses may also supplement contracted supplies and storage from time to time with stored LNG and propane-air plant production.</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CenterPoint Energy’s and CERC’s natural gas distribution businesses owned and operated the following natural gas facilities: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No. of Assets</w:t>
            </w: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Storage Capacity (Bcf)</w:t>
            </w: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Working Capacity (Bcf)</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Maximum Daily</w:t>
            </w:r>
          </w:p>
        </w:tc>
        <w:tc>
          <w:tcPr>
            <w:tcW w:w="0" w:type="dxa"/>
            <w:vAlign w:val="bottom"/>
          </w:tcPr>
          <w:p>
            <w:pPr>
              <w:spacing w:after="0"/>
              <w:rPr>
                <w:sz w:val="1"/>
                <w:szCs w:val="1"/>
                <w:color w:val="auto"/>
              </w:rPr>
            </w:pPr>
          </w:p>
        </w:tc>
      </w:tr>
      <w:tr>
        <w:trPr>
          <w:trHeight w:val="167"/>
        </w:trPr>
        <w:tc>
          <w:tcPr>
            <w:tcW w:w="59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Withdrawal Rate (MMcf)</w:t>
            </w:r>
          </w:p>
        </w:tc>
        <w:tc>
          <w:tcPr>
            <w:tcW w:w="0" w:type="dxa"/>
            <w:vAlign w:val="bottom"/>
          </w:tcPr>
          <w:p>
            <w:pPr>
              <w:spacing w:after="0"/>
              <w:rPr>
                <w:sz w:val="1"/>
                <w:szCs w:val="1"/>
                <w:color w:val="auto"/>
              </w:rPr>
            </w:pPr>
          </w:p>
        </w:tc>
      </w:tr>
      <w:tr>
        <w:trPr>
          <w:trHeight w:val="150"/>
        </w:trPr>
        <w:tc>
          <w:tcPr>
            <w:tcW w:w="592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Underground Natural Gas Storage Facility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0" w:type="dxa"/>
            <w:vAlign w:val="bottom"/>
          </w:tcPr>
          <w:p>
            <w:pPr>
              <w:spacing w:after="0"/>
              <w:rPr>
                <w:sz w:val="1"/>
                <w:szCs w:val="1"/>
                <w:color w:val="auto"/>
              </w:rPr>
            </w:pPr>
          </w:p>
        </w:tc>
      </w:tr>
      <w:tr>
        <w:trPr>
          <w:trHeight w:val="169"/>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Underground Natural Gas Storage Facility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bl>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On-site Storage Capacity</w:t>
            </w:r>
          </w:p>
        </w:tc>
        <w:tc>
          <w:tcPr>
            <w:tcW w:w="0" w:type="dxa"/>
            <w:vAlign w:val="bottom"/>
          </w:tcPr>
          <w:p>
            <w:pPr>
              <w:spacing w:after="0"/>
              <w:rPr>
                <w:sz w:val="1"/>
                <w:szCs w:val="1"/>
                <w:color w:val="auto"/>
              </w:rPr>
            </w:pPr>
          </w:p>
        </w:tc>
      </w:tr>
      <w:tr>
        <w:trPr>
          <w:trHeight w:val="112"/>
        </w:trPr>
        <w:tc>
          <w:tcPr>
            <w:tcW w:w="5900" w:type="dxa"/>
            <w:vAlign w:val="bottom"/>
          </w:tcPr>
          <w:p>
            <w:pPr>
              <w:spacing w:after="0"/>
              <w:rPr>
                <w:sz w:val="9"/>
                <w:szCs w:val="9"/>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 of Assets</w:t>
            </w:r>
          </w:p>
        </w:tc>
        <w:tc>
          <w:tcPr>
            <w:tcW w:w="1540" w:type="dxa"/>
            <w:vAlign w:val="bottom"/>
            <w:gridSpan w:val="2"/>
          </w:tcPr>
          <w:p>
            <w:pPr>
              <w:jc w:val="center"/>
              <w:ind w:right="100"/>
              <w:spacing w:after="0" w:line="112" w:lineRule="exact"/>
              <w:rPr>
                <w:sz w:val="20"/>
                <w:szCs w:val="20"/>
                <w:color w:val="auto"/>
              </w:rPr>
            </w:pPr>
            <w:r>
              <w:rPr>
                <w:rFonts w:ascii="Times New Roman" w:cs="Times New Roman" w:eastAsia="Times New Roman" w:hAnsi="Times New Roman"/>
                <w:sz w:val="12"/>
                <w:szCs w:val="12"/>
                <w:b w:val="1"/>
                <w:bCs w:val="1"/>
                <w:color w:val="auto"/>
              </w:rPr>
              <w:t>Daily Production Rate</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Millions of Gallons</w:t>
            </w:r>
          </w:p>
        </w:tc>
        <w:tc>
          <w:tcPr>
            <w:tcW w:w="1440" w:type="dxa"/>
            <w:vAlign w:val="bottom"/>
            <w:vMerge w:val="restart"/>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Dth</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(Dth)</w:t>
            </w:r>
          </w:p>
        </w:tc>
        <w:tc>
          <w:tcPr>
            <w:tcW w:w="152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9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CenterPoint Energy and CERC</w:t>
            </w: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Propane Air-Gas Manufacturing Plant</w:t>
            </w:r>
          </w:p>
        </w:tc>
        <w:tc>
          <w:tcPr>
            <w:tcW w:w="7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247,000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1,228,000</w:t>
            </w:r>
          </w:p>
        </w:tc>
        <w:tc>
          <w:tcPr>
            <w:tcW w:w="0" w:type="dxa"/>
            <w:vAlign w:val="bottom"/>
          </w:tcPr>
          <w:p>
            <w:pPr>
              <w:spacing w:after="0"/>
              <w:rPr>
                <w:sz w:val="1"/>
                <w:szCs w:val="1"/>
                <w:color w:val="auto"/>
              </w:rPr>
            </w:pPr>
          </w:p>
        </w:tc>
      </w:tr>
      <w:tr>
        <w:trPr>
          <w:trHeight w:val="165"/>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LNG Plant Facility</w:t>
            </w:r>
          </w:p>
        </w:tc>
        <w:tc>
          <w:tcPr>
            <w:tcW w:w="7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1,010,000</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CenterPoint Energy’s and CERC’s natural gas distribution businesses contracted upstream storage services as of December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1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Storage Capacity (Bcf)</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Maximum Peak Daily</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Delivery (MMcf)</w:t>
            </w:r>
          </w:p>
        </w:tc>
        <w:tc>
          <w:tcPr>
            <w:tcW w:w="0" w:type="dxa"/>
            <w:vAlign w:val="bottom"/>
          </w:tcPr>
          <w:p>
            <w:pPr>
              <w:spacing w:after="0"/>
              <w:rPr>
                <w:sz w:val="1"/>
                <w:szCs w:val="1"/>
                <w:color w:val="auto"/>
              </w:rPr>
            </w:pPr>
          </w:p>
        </w:tc>
      </w:tr>
      <w:tr>
        <w:trPr>
          <w:trHeight w:val="162"/>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Upstream Storage Service</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0" w:name="page61"/>
    <w:bookmarkEnd w:id="60"/>
    <w:p>
      <w:pPr>
        <w:ind w:left="260"/>
        <w:spacing w:after="0"/>
        <w:rPr>
          <w:sz w:val="20"/>
          <w:szCs w:val="20"/>
          <w:color w:val="auto"/>
        </w:rPr>
      </w:pPr>
      <w:r>
        <w:rPr>
          <w:rFonts w:ascii="Times New Roman" w:cs="Times New Roman" w:eastAsia="Times New Roman" w:hAnsi="Times New Roman"/>
          <w:sz w:val="14"/>
          <w:szCs w:val="14"/>
          <w:color w:val="auto"/>
        </w:rPr>
        <w:t>The table below reflects the approximate total linear miles of distribution and transmission mains owned by CenterPoint Energy’s and CERC’s natural gas distribution businesses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Locations</w:t>
            </w:r>
          </w:p>
        </w:tc>
        <w:tc>
          <w:tcPr>
            <w:tcW w:w="17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69,000</w:t>
            </w:r>
          </w:p>
        </w:tc>
      </w:tr>
      <w:tr>
        <w:trPr>
          <w:trHeight w:val="165"/>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Indiana and Ohio (1)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23,000</w:t>
            </w:r>
          </w:p>
        </w:tc>
        <w:tc>
          <w:tcPr>
            <w:tcW w:w="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r>
    </w:tbl>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Linear miles of distribution and transmission mains attributable to CEOH were approximately 6,000 miles.</w:t>
      </w:r>
    </w:p>
    <w:p>
      <w:pPr>
        <w:spacing w:after="0" w:line="200"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CenterPoint Energy’s and CERC’s natural gas distribution businesses owned mains varying in size from one-half inch to 24 inches in diameter. CenterPoint Energy’s and CERC’s natural gas distribution businesses in Indiana and Ohio own mains that are located in Indiana and Ohio except for, in the case of CenterPoint Energy, pipeline facilities extending from points in northern Kentucky to points in southern Indiana so that gas may be transported to Indiana and sold or transported to customers in Indiana. Generally, in each of the cities, towns and rural areas served by CenterPoint Energy’s and CERC’s natural gas distribution businesses, CenterPoint Energy and CERC own the underground gas mains and service lines, metering and regulating equipment located on customers’ premises and the district regulating equipment necessary for pressure maintenance. With a few exceptions, the measuring stations at which CenterPoint Energy’s and CERC’s natural gas distribution businesses receive gas are owned, operated and maintained by others, and their distribution facilities begin at the outlet of the measuring equipment. These facilities, including odorizing equipment, are usually located on land owned by suppliers.</w:t>
      </w:r>
    </w:p>
    <w:p>
      <w:pPr>
        <w:spacing w:after="0" w:line="168"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CenterPoint Energy and CERC, through CEIP, owned and operated over 208 miles of intrastate pipeline in Texas. On March 31, 2025, CenterPoint Energy, through its subsidiary CERC Corp., completed the sale of its Louisiana and Mississippi natural gas LDC businesses, which included the intrastate pipelines owned by CEIP in Louisiana. On October 20, 2025, CenterPoint Energy, through CERC Corp., entered into the Ohio Securities Purchase Agreement to sell all of the issued and outstanding equity interests in CEOH. The transaction is expected to close in the fourth quarter of 2026, subject to the satisfaction of customary closing conditions. For further information, see Note 4 to the consolidated financial statements.</w:t>
      </w:r>
    </w:p>
    <w:p>
      <w:pPr>
        <w:spacing w:after="0" w:line="16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 discussion of material legal and regulatory proceedings, including environmental legal proceedings that involve a governmental authority as a party and that the Registrants reasonably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believe would result in $1,000,000 or more of monetary sanctions, exclusive of interest and costs, under federal, state and local laws that have been enacted or adopted regulating the discharge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materials into the environment or primarily for the purpose of protecting the environment, affecting the Registrants, read “Business — Regulation” and “Business — Environmental Matters”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 of this report, “Management’s Discussion and Analysis of Financial Condition and Results of Operations — Liquidity and Capital Resources — Regulatory Matters” in Item 7 of Part II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report and Note 14(c) to the consolidated financial statements, which information is incorporated herein by reference.</w:t>
      </w:r>
    </w:p>
    <w:p>
      <w:pPr>
        <w:spacing w:after="0" w:line="18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Mine Safety Disclosures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1" w:name="page62"/>
    <w:bookmarkEnd w:id="61"/>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combined Form 10-K is filed separately by three registrants: CenterPoint Energy, Inc., CenterPoint Energy Houston Electric, LLC and CenterPoint Energy Resources Corp.</w:t>
      </w:r>
    </w:p>
    <w:p>
      <w:pPr>
        <w:spacing w:after="0" w:line="19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0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As of February 13, 2026, CenterPoint Energy’s common stock was held by approximately 20,378 shareholders of record. CenterPoint Energy’s common stock is listed on the NYSE and NYSE Texas and is traded under the symbol “CNP.”</w:t>
      </w:r>
    </w:p>
    <w:p>
      <w:pPr>
        <w:spacing w:after="0" w:line="145"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amount of future cash dividends will be subject to determination based upon CenterPoint Energy’s financial condition and results of operations, future business prospects, any applicable contractual restrictions and other factors that the Board considers relevant and will be declared at the discretion of the Board. For further information on CenterPoint Energy’s dividends, see Note 11 to the consolidated financial statements.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Repurchases of Equity Securities</w:t>
      </w:r>
    </w:p>
    <w:p>
      <w:pPr>
        <w:spacing w:after="0" w:line="202"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2025, none of CenterPoint Energy’s equity securities registered pursuant to Section 12 of the Securities Exchange Act of 1934, as amended, were purchased by or on behalf of CenterPoint Energy or any “affiliated purchasers,” as defined in Rule 10b-18(a)(3) under the Securities Exchange Act of 1934, as amended.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13, 2026, all of Houston Electric’s 1,000 outstanding common shares were held by Utility Holding, LLC, a wholly-owned subsidiary of CenterPoint Energy.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13, 2026, all of CERC Corp.’s 1,000 outstanding shares of common stock were held by Utility Holding, LLC, a wholly-owned subsidiary of CenterPoint Energy.</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200"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combined discussion and analysis should be read in combination with the consolidated financial statements included in Item 8 herein. The discussion of CenterPoint Energy’s consolidated financial information includes the results of CenterPoint Energy Houston Electric, LLC and CenterPoint Energy Resources Corp., which, along with CenterPoint Energy, Inc., are collectively referred to as the Registrants. Where appropriate, information relating to a specific Registrant has been segregated and labeled as such. Unless the context indicates otherwise, specific references to Houston Electric and CERC also pertain to CenterPoint Energy. In this combined Form 10-K, the terms “our,” “we” and “us” are used as abbreviated references to CenterPoint Energy, Inc. together with its consolidated subsidiaries, including Houston Electric and CERC, unless otherwise stated. No Registrant makes any representation as to the information relating to the other Registrants or the subsidiaries of CenterPoint Energy, Inc. other than itself or its subsidiaries.</w: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20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is a public utility holding company. CenterPoint Energy’s operating subsidiaries own and operate electric transmission, distribution and generation facilities and natural gas distribution systems. For a detailed description of CenterPoint Energy’s operating subsidiaries, see Note 1 to the consolidated financial statements.</w:t>
      </w:r>
    </w:p>
    <w:p>
      <w:pPr>
        <w:spacing w:after="0" w:line="145"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Houston Electric is an indirect, wholly-owned subsidiary of CenterPoint Energy, which provides electric transmission service to transmission service customers in the ERCOT region and distribution service to REPs serving the Texas Gulf Coast area that includes the city of Houston.</w:t>
      </w: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28" w:right="439" w:bottom="1440" w:gutter="0" w:footer="0" w:header="0"/>
        </w:sectPr>
      </w:pPr>
    </w:p>
    <w:bookmarkStart w:id="62" w:name="page63"/>
    <w:bookmarkEnd w:id="62"/>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CERC Corp. is an indirect, wholly-owned subsidiary of CenterPoint Energy, which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w:t>
      </w:r>
    </w:p>
    <w:p>
      <w:pPr>
        <w:spacing w:after="0" w:line="15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On October 20, 2025, CenterPoint Energy, through its subsidiary CERC Corp., entered into the Ohio Securities Purchase Agreement to sell all of the issued and outstanding equity interests in CEOH. The transaction is expected to close in the fourth quarter of 2026, subject to the satisfaction of customary closing conditions. For further information, see Note 4 to the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Reportable Segments</w:t>
      </w:r>
    </w:p>
    <w:p>
      <w:pPr>
        <w:spacing w:after="0" w:line="20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We discuss our operating results on a consolidated basis and individually for each of our reportable segments. We are first and foremost an energy delivery company and it is our intention to remain focused on these regulated segments. The results of our business operations are significantly impacted by weather, customer growth, economic conditions, cost management, competition, rate proceedings before regulatory agencies and other actions of the various regulatory agencies to whose jurisdiction we are subject, among other factors.</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Below is a summary of CenterPoint Energy’s reportable segments as of December 31, 2025. For a detailed description of each reportable segment, as well as the assets included in each reportable segment, see Part I, Item 1. Business and Item 2. Properties.</w:t>
      </w:r>
    </w:p>
    <w:p>
      <w:pPr>
        <w:spacing w:after="0" w:line="145" w:lineRule="exact"/>
        <w:rPr>
          <w:sz w:val="20"/>
          <w:szCs w:val="20"/>
          <w:color w:val="auto"/>
        </w:rPr>
      </w:pPr>
    </w:p>
    <w:p>
      <w:pPr>
        <w:ind w:left="520" w:right="36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Electric reportable segment consisted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145" w:lineRule="exact"/>
        <w:rPr>
          <w:rFonts w:ascii="Times New Roman" w:cs="Times New Roman" w:eastAsia="Times New Roman" w:hAnsi="Times New Roman"/>
          <w:sz w:val="14"/>
          <w:szCs w:val="14"/>
          <w:color w:val="auto"/>
        </w:rPr>
      </w:pPr>
    </w:p>
    <w:p>
      <w:pPr>
        <w:ind w:left="520" w:right="80" w:hanging="260"/>
        <w:spacing w:after="0" w:line="26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Natural Gas reportable segment consisted of (i) intrastate natural gas sales to, and natural gas transportation and distribution for, residential, commercial and industrial customers in Indiana, Minnesota, Ohio and Texas; (ii) permanent pipeline connections through interconnects with various interstate and intrastate pipeline companies through CEIP; (iii) residential appliance repair and maintenance services along with HVAC equipment sales to customers in Minnesota; and (iv) home repair protection plans to natural gas customers in Indiana, Ohio and Texas through a third party. The Louisiana and Mississippi natural gas LDC businesses were included in the Natural Gas reportable segment through March 31, 2025. See Note 4 for additional detail.</w:t>
      </w:r>
    </w:p>
    <w:p>
      <w:pPr>
        <w:spacing w:after="0" w:line="164" w:lineRule="exact"/>
        <w:rPr>
          <w:rFonts w:ascii="Times New Roman" w:cs="Times New Roman" w:eastAsia="Times New Roman" w:hAnsi="Times New Roman"/>
          <w:sz w:val="14"/>
          <w:szCs w:val="14"/>
          <w:color w:val="auto"/>
        </w:rPr>
      </w:pPr>
    </w:p>
    <w:p>
      <w:pPr>
        <w:ind w:left="520" w:right="180" w:hanging="260"/>
        <w:spacing w:after="0" w:line="270"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Corporate and Other reportable segment consisted of (i) energy performance contracting and sustainable infrastructure services by Energy Systems Group through June 30, 2023, the date of the sale of Energy Systems Group; (ii) corporate support operations that support all of CenterPoint Energy’s business operations; and (iii) office buildings and other real estate used for business operations.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each consist of a single reportable segment.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202"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We expect our businesses to continue to be affected by the key factors and trends discussed below. 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Influencing Our Businesses and Industry Trends</w:t>
      </w:r>
    </w:p>
    <w:p>
      <w:pPr>
        <w:spacing w:after="0" w:line="191" w:lineRule="exact"/>
        <w:rPr>
          <w:sz w:val="20"/>
          <w:szCs w:val="20"/>
          <w:color w:val="auto"/>
        </w:rPr>
      </w:pPr>
    </w:p>
    <w:p>
      <w:pPr>
        <w:ind w:right="600" w:firstLine="255"/>
        <w:spacing w:after="0" w:line="287" w:lineRule="auto"/>
        <w:rPr>
          <w:sz w:val="20"/>
          <w:szCs w:val="20"/>
          <w:color w:val="auto"/>
        </w:rPr>
      </w:pPr>
      <w:r>
        <w:rPr>
          <w:rFonts w:ascii="Times New Roman" w:cs="Times New Roman" w:eastAsia="Times New Roman" w:hAnsi="Times New Roman"/>
          <w:sz w:val="14"/>
          <w:szCs w:val="14"/>
          <w:color w:val="auto"/>
        </w:rPr>
        <w:t>We are an energy delivery company with electric transmission, distribution and generation operations and natural gas distribution operations that serve more than seven million metered customers across four states. The majority of our revenues are generated from the transmission and delivery of electricity and the sale of natural gas by our subsidiaries.</w:t>
      </w:r>
    </w:p>
    <w:p>
      <w:pPr>
        <w:spacing w:after="0" w:line="145"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continue to execute on our strategic goals for our businesses that were set in September 2025. Pursuant to this business strategy and in light of the nature of our businesses, significant capital investments are reflected in our new 10-year capital plan. In September 2025, we announced our new 10-year capital plan to invest $65 billion from 2026 through 2035, inclusive of a $2 billion increase in previously planned capital expenditures through 2030, and in February 2026, we announced an additional increase to reflect total expenditures of approximately $65.5 billion. Our 10-year capital plan is intended to advance economic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14"/>
          <w:szCs w:val="14"/>
          <w:color w:val="auto"/>
        </w:rPr>
        <w:t>growth, improve the experience of our customers through enhancing the safety, reliability and resiliency of our systems and deliver consistent value for stakeholders across the jurisdictions in which we operate. These investments are not only intended to meet our customers’ current needs, but are also in anticipation of future organic growth from a diverse set of economic drivers. This organic growth is anticipated to result in rapid load growth in our service territories (as further discussed below). To fund these capital investments, we rely on internally-generated cash, borrowings under our credit facilities, proceeds from commercial paper, cash proceeds from strategic transactions (such as our Energy Systems Group divestiture in 2023, the sale of our Louisiana and Mississippi natural gas LDC businesses in 2025 and the announced sale of our Ohio natural gas LDC business, which is expected to close in the fourth quarter of 2026) and issuances of equity and debt securities in the capital markets, including the issuance of non-recourse system restoration bonds at Houston Electric to recover costs incurred primarily during the year ended December 31, 2024 due to the May 2024 Storm Events, as well as Hurricane Beryl and other significant storms.</w:t>
      </w:r>
    </w:p>
    <w:p>
      <w:pPr>
        <w:spacing w:after="0" w:line="168"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We strive to maintain investment grade ratings for our debt securities to access the capital markets on terms we consider reasonable. A reduction in our ratings generally would result in an increase in our borrowing costs for new issuances of debt, as well as borrowing costs under our existing revolving credit facilities, and may prevent us from accessing the commercial paper markets. Disruptions in the financial markets along with high or rising interest rates can also affect the availability of external financing on terms we consider attractive. In those circumstances, we may not be able to obtain certain types of external financing or may be required to accept terms less favorable than we would otherwise accept which, among other things, would negatively impact our ability to finance our capital plan. For that reason, we seek to maintain adequate liquidity for our businesses through existing credit facilities and prudent refinancing of existing debt.</w:t>
      </w:r>
    </w:p>
    <w:p>
      <w:pPr>
        <w:spacing w:after="0" w:line="164"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Approximately 85% of our rate base has been subject to a rate case since the beginning of 2023, which supports clarity and stability through 2029 with final orders improving enterprise weighted average returns on equity. Additionally, approximately 85% of CenterPoint Energy’s projected consolidated investments are expected to be recovered through interim capital recovery trackers or rate cases based on a forward test year. For additional detail, see “—Liquidity and Capital Resources —Regulatory Matters” below.</w:t>
      </w:r>
    </w:p>
    <w:p>
      <w:pPr>
        <w:spacing w:after="0" w:line="15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To assess our financial performance, our management primarily monitors the recovery of costs and return on investments by evaluating net income and capital expenditures, among other metrics, from our regulated service territories within our reportable segments. Within these broader financial measures, we monitor margins, natural gas and fuel costs, interest expense, capital spend, working capital requirements and operation and maintenance expense, among other significant metrics. In addition to these financial measures, we also monitor a number of variables that management considers important to gauge the performance of our reportable segments, including the number of customers, throughput, commodity prices, heating and cooling degree days, safety factors, system reliability and customer satisfaction.</w:t>
      </w:r>
    </w:p>
    <w:p>
      <w:pPr>
        <w:spacing w:after="0" w:line="164"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CenterPoint Energy and CERC have weather normalization or other rate mechanisms that largely mitigate the impact of weather on their natural gas distribution businesses in Indiana, Minnesota and Ohio, as applicable. CenterPoint Energy’s and CERC’s natural gas distribution businesses in Texas and CenterPoint Energy’s electric operations in Texas and Indiana do not have such mechanisms. As a result, fluctuations from normal weather may have a positive or negative effect on CenterPoint Energy’s and CERC’s natural gas distribution business’ results in Texas and on CenterPoint Energy’s electric operations’ results in its Texas and Indiana service territories.</w:t>
      </w:r>
    </w:p>
    <w:p>
      <w:pPr>
        <w:spacing w:after="0" w:line="16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4"/>
          <w:szCs w:val="14"/>
          <w:color w:val="auto"/>
        </w:rPr>
        <w:t>Management anticipates significant growth in electric demand over the next decade, especially in our Houston Electric territory where we forecast a nearly 50% increase in peak electric load demand to over 30 GW by 2029 and the demand nearly doubling by the mid 2030s, as compared to 2024. It is expected that the significant forecasted growth in this service territory will be driven by a diverse set of economic drivers, including data centers, energy refining and exports, advanced manufacturing and logistics. Management additionally believes that there are increased electric demand opportunities in our Indiana Electric jurisdiction; accordingly, Indiana Electric’s 2025 IRP included a large load scenario with a corresponding alternative preferred portfolio. Additionally, management expects residential meter growth for Houston Electric to remain in line with long-term trends at approximately 2% annually. As discussed above, a significant portion of the planned investments in our new 10-year capital plan are intended to support this growth. There is significant uncertainty with respect to the forecasted load growth and our ability to capitalize on the opportunities presented by these developments. For more information regarding such risks, see Part I, Item 1A. “Risk Factors — General and Other Risks — We are exposed to risks related to changes in demand and energy consumption...” Typical customer growth in the jurisdictions served by the Natural Gas reportable segment is approximately 1% annually. Management expects residential meter growth for CERC to remain in line with long-term trends at approximately 1% annually. Nevertheless, this expected growth may be partially offset by adverse economic conditions, coupled with concerns for protecting the environment and increased availability of alternate energy sources, which may cause consumers to use less energy or avoid expansions of their facilities, including natural gas facilities. Long-term national trends indicate residential customers have reduced their energy consumption, which could adversely affect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4" w:name="page65"/>
    <w:bookmarkEnd w:id="64"/>
    <w:p>
      <w:pPr>
        <w:spacing w:after="0" w:line="287" w:lineRule="auto"/>
        <w:rPr>
          <w:sz w:val="20"/>
          <w:szCs w:val="20"/>
          <w:color w:val="auto"/>
        </w:rPr>
      </w:pPr>
      <w:r>
        <w:rPr>
          <w:rFonts w:ascii="Times New Roman" w:cs="Times New Roman" w:eastAsia="Times New Roman" w:hAnsi="Times New Roman"/>
          <w:sz w:val="14"/>
          <w:szCs w:val="14"/>
          <w:color w:val="auto"/>
        </w:rPr>
        <w:t>our results. To the extent population growth is affected by lower energy prices and there is financial pressure on some of our customers who operate within the energy industry, there may be an impact on the growth rate of our customer base and overall demand for our services.</w:t>
      </w:r>
    </w:p>
    <w:p>
      <w:pPr>
        <w:spacing w:after="0" w:line="145"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4"/>
          <w:szCs w:val="14"/>
          <w:color w:val="auto"/>
        </w:rPr>
        <w:t>Macroeconomic and geopolitical developments, including high rates of inflation, supply chain disruptions, labor market constraints, tariffs, high interest rates, general economic slowdown and escalating global conflicts can impact our business, financial condition, results of operations and cash flow, including adversely impacting our ability to execute on our 10-year capital plan. Inflation and high interest rates have contributed, and may continue to contribute, to increased prices for materials and services experienced by us and other companies in our industry. Further, the global supply chain has experienced and may continue to experience significant disruptions due to a multitude of factors, such as geopolitical and economic uncertainty, regulatory and policy instability, tariffs and other changes in U.S. and foreign trade policy, changes in laws (including tax laws), executive orders, labor shortages, resource availability, long lead times, manufacturer production limitations, delivery delays, inflation, severe weather events and disruptions to internal or international shipping, including as a result of armed conflicts. We have also faced, and may continue to face, a shortage of experienced and qualified personnel in certain positions, which has resulted in increased competition for skilled labor and wage inflation. Additionally, increased demand for materials necessary for our business has resulted, and may continue to result, in greater competition for and scarcity of such materials. In 2025 and 2026, the U.S. government threatened, announced and, in certain cases, rescinded, tariffs on several foreign jurisdictions and imports (including steel) into the United States, which led, and may continue to lead, to the imposition of retaliatory tariffs and other measures taken by foreign jurisdictions. There is significant uncertainty as to the scope and durability of existing and future tariff measures, as well as the ultimate effects of the tariffs on economic conditions. These macroeconomic and geopolitical developments have adversely impacted the utility industry, and like many of our peers, we have experienced disruptions to our supply chain, as well as increased prices and scarcity of resources and labor, and we may continue to experience this in the future. These developments have impacted our financial results for the year ended December 31, 2025. We have taken actions across multiple vectors to reduce the impact of such developments on our results of operations, but if such conditions continue, they could negatively impact our ability to procure materials, supplies (such as natural gas) or services necessary for our business and 10-year capital plan at a reasonable cost in a timely manner, result in project cancellations or scope changes, delays, cost overruns, and under-recovery of costs and challenges to our ability to remain in compliance with applicable laws, regulations and policies, which could adversely affect our business, financial condition, results of operations and cash flows. For more information regarding such risk, see Part I, Item 1A. “Risk Factors — Risk Factors Affecting Financial, Economic and Market Risks — Disruptions to the global supply chain...” and “— Changes in U.S. or foreign trade policies.”</w:t>
      </w:r>
    </w:p>
    <w:p>
      <w:pPr>
        <w:spacing w:after="0" w:line="169"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The utility industry has experienced a period of rising costs and investments and an upward trend in spending, especially with respect to infrastructure investments. As noted above, we are making, and plan to continue to make, significant capital investments in our service territories under our 10-year capital plan to help operate and maintain safer, more reliable and growing electric and natural gas systems and support the electric demand growth that management is forecasting over the next decade. Rising costs and investments and the upward trend in spending are likely to continue in the foreseeable future and could result in more frequent rate cases and requests for, and the continuation of, cost recovery mechanisms. Increased rates and impacts on customer bills or the perceived potential for such impacts, particularly in the current economic environment, has caused and could continue to cause customer affordability concerns, resistance from customers and other stakeholders and increased political, regulatory, community and other scrutiny and pressures. For example, in consideration of customer affordability concerns, Indiana Electric cancelled nearly $1 billion in renewable energy generation projects in 2025. These matters could impact our ability to execute our 10-year capital plan, result in adverse ratemaking and cost recovery determinations, increased financing needs and otherwise adversely affect our business, financial condition, results of operations and cash flows. For more information regarding such risk, see Part I, Item 1A. “Risk Factors.”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89"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Updated 10-Year Capital Plan. </w:t>
      </w:r>
      <w:r>
        <w:rPr>
          <w:rFonts w:ascii="Times New Roman" w:cs="Times New Roman" w:eastAsia="Times New Roman" w:hAnsi="Times New Roman"/>
          <w:sz w:val="14"/>
          <w:szCs w:val="14"/>
          <w:color w:val="auto"/>
        </w:rPr>
        <w:t>On September 29, 2025, CenterPoint Energy announced a new 10-year capital plan to invest $65 billion from 2026 through 2035, inclusive of a $2 billion increase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previously planned capital expenditures through 2030. On February 19, 2026, CenterPoint Energy announced an additional increase of $500 million to reflect total capital expenditures of approximately $65.5 billion through 2035. The plan is expected to advance economic growth, enhance the experience of the Registrants’ customers and deliver consistent value for stakeholders across the Registrants’ jurisdictions.</w:t>
      </w:r>
    </w:p>
    <w:p>
      <w:pPr>
        <w:spacing w:after="0" w:line="159" w:lineRule="exact"/>
        <w:rPr>
          <w:sz w:val="20"/>
          <w:szCs w:val="20"/>
          <w:color w:val="auto"/>
        </w:rPr>
      </w:pPr>
    </w:p>
    <w:p>
      <w:pPr>
        <w:ind w:right="8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Treasury Notice 2026-7. </w:t>
      </w:r>
      <w:r>
        <w:rPr>
          <w:rFonts w:ascii="Times New Roman" w:cs="Times New Roman" w:eastAsia="Times New Roman" w:hAnsi="Times New Roman"/>
          <w:sz w:val="14"/>
          <w:szCs w:val="14"/>
          <w:color w:val="auto"/>
        </w:rPr>
        <w:t>On February 18, 2026, Treasury Notice 2026-7 was issued. This notice clarifies the computation of AFSI by including an adjustment to deduct certain repair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maintenance costs that are capitalized in the applicable financial statement. While CenterPoint Energy is still evaluating this guidance, it expects a prospective reduction to its annual CAMT liability. Additionally, CenterPoint Energy expects to be able to amend prior year tax returns to claim a refund of CAMT paid.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5" w:name="page66"/>
    <w:bookmarkEnd w:id="65"/>
    <w:p>
      <w:pPr>
        <w:ind w:right="40"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TEEEF. </w:t>
      </w:r>
      <w:r>
        <w:rPr>
          <w:rFonts w:ascii="Times New Roman" w:cs="Times New Roman" w:eastAsia="Times New Roman" w:hAnsi="Times New Roman"/>
          <w:sz w:val="14"/>
          <w:szCs w:val="14"/>
          <w:color w:val="auto"/>
        </w:rPr>
        <w:t>In June 2025, Houston Electric entered into the ERCOT Transaction, subject to PUCT approval, to release its 15 large (27 MW to 32 MW) TEEEF units to ERCOT at CPS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facilities to serve the greater San Antonio region until March 2027 unless terminated earlier pursuant to the provisions of the ERCOT Transaction, reduce its TEEEF fleet capacity and reduce its rates to reflect removal of the large TEEEF units from its fleet. Following the completion of service in the San Antonio area, Houston Electric anticipates that it would complete one or more future transactions involving its large TEEEF units. As the large TEEEF units would not be available to serve Houston Electric customers during such time, Houston Electric plans to continue to not charge customers for these units for any future periods. In November 2025, Houston Electric proposed to release its five medium (5.7 MW) TEEEF units and to remove the associated lease costs from its rates effective January 1, 2026. On February 13, 2026, Houston Electric requested continued abatement until February 27, 2026 due to continued settlement discussions. For additional information, see Note 7 to the consolidated financial statements.</w:t>
      </w:r>
    </w:p>
    <w:p>
      <w:pPr>
        <w:spacing w:after="0" w:line="16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Transactions. </w:t>
      </w:r>
      <w:r>
        <w:rPr>
          <w:rFonts w:ascii="Times New Roman" w:cs="Times New Roman" w:eastAsia="Times New Roman" w:hAnsi="Times New Roman"/>
          <w:sz w:val="14"/>
          <w:szCs w:val="14"/>
          <w:color w:val="auto"/>
        </w:rPr>
        <w:t>In 2025, CenterPoint Energy issued or borrowed a combined $3.7 billion of new debt, including: (i) SIGECO’s issuance of $515 million aggregate principal amount of its first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mortgage bonds; (ii) Houston Electric’s issuance of $1.1 billion aggregate principal amount of its general mortgage bonds; (iii) Restoration Bond Company II’s issuance of approximately $401.5 million aggregate principal amount of its securitization bonds; (iv) CenterPoint Energy’s issuance of $1.0 billion aggregate principal amount of its convertible senior notes due 2028; and (v) CenterPoint Energy’s issuance of $700 million aggregate principal amount of its junior subordinated notes. During 2025, CenterPoint Energy repaid or redeemed a combined $61 million of outstanding debt, including $41 million of SIGECO’s first mortgage bonds and $20 million of Indiana Gas’s senior notes. In addition, CenterPoint Energy repurchased a combined of approximately $1.5 billion of outstanding debt in connection with settlement of its tender offers, including: (i) approximately $963 million of its senior notes; (ii) approximately $415 million of CERC’s senior notes; and (iii) approximately $234 million of Houston Electric’s general mortgage bonds. For further information about debt transactions in 2025, see Note 12 to the consolidated financial statements. In January 2026, CERC Corp. entered into a delayed draw term loan agreement pursuant to which the banks party thereto have committed to provide term loans in an aggregate principal amount of up to $800 million by March 30, 2026 in up to three separate borrowings, subject to the satisfaction or waiver of certain customary conditions. If not fully utilized, the term loan commitments expire on March 31, 2026. CERC Corp. borrowed $500 million on January 20, 2026, and expects to borrow the remaining $300 million during the first quarter of 2026. For further information, see Note 20 to the consolidated financial statements.</w:t>
      </w:r>
    </w:p>
    <w:p>
      <w:pPr>
        <w:spacing w:after="0" w:line="180"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Assets Held for Sale. </w:t>
      </w:r>
      <w:r>
        <w:rPr>
          <w:rFonts w:ascii="Times New Roman" w:cs="Times New Roman" w:eastAsia="Times New Roman" w:hAnsi="Times New Roman"/>
          <w:sz w:val="14"/>
          <w:szCs w:val="14"/>
          <w:color w:val="auto"/>
        </w:rPr>
        <w:t>On October 20, 2025, CenterPoint Energy, through its subsidiary CERC Corp., entered into the Ohio Securities Purchase Agreement, pursuant to which CERC Corp. has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agreed to sell all of the issued and outstanding equity interests in CEOH. The purchase price is $2.62 billion, which is comprised of the following: (i) $1.42 billion in cash payable to CERC Corp. upon closing of the transaction, subject to adjustments as set forth in the Ohio Securities Purchase Agreement, including adjustments based on net working capital, regulatory assets and liabilities and capital expenditures at closing of the transaction; and (ii) a 364-day seller promissory note, in the original principal amount of $1.2 billion, to be issued by NFGC at the closing of the transaction and payable to CERC Corp. as provided by the terms and conditions of the Seller Note Agreement. The transaction is not subject to a financing condition and is expected to close in the fourth quarter of 2026, subject to satisfaction of customary closing conditions. As of December 31, 2025, the assets included approximately 6,000 miles of transmission and distribution pipeline in Ohio serving approximately 337,000 metered customers. CEOH is reflected in CenterPoint Energy’s Natural Gas reportable segment and CERC’s single reportable segment, as applicable. For further information, see Note 4 to the consolidated financial statements.</w:t>
      </w:r>
    </w:p>
    <w:p>
      <w:pPr>
        <w:spacing w:after="0" w:line="154" w:lineRule="exact"/>
        <w:rPr>
          <w:sz w:val="20"/>
          <w:szCs w:val="20"/>
          <w:color w:val="auto"/>
        </w:rPr>
      </w:pPr>
    </w:p>
    <w:p>
      <w:pPr>
        <w:ind w:firstLine="255"/>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CenterPoint Energy Board Leadership Structure Changes. </w:t>
      </w:r>
      <w:r>
        <w:rPr>
          <w:rFonts w:ascii="Times New Roman" w:cs="Times New Roman" w:eastAsia="Times New Roman" w:hAnsi="Times New Roman"/>
          <w:sz w:val="14"/>
          <w:szCs w:val="14"/>
          <w:color w:val="auto"/>
        </w:rPr>
        <w:t>On October 8, 2025, the Board unanimously appointed Jason P. Wells, Chief Executive Officer and President of CenterPoint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serve as Chair of the Board, effective immediately. Mr. Wells has served as a director on the Board since January 5, 2024. In addition, the Board approved the creation of a Lead Independent Director of the Board position and the independent directors of the Board unanimously appointed independent director Christopher H. Franklin to serve as the Lead Independent Director of the Board, effective immediately.</w:t>
      </w:r>
    </w:p>
    <w:p>
      <w:pPr>
        <w:spacing w:after="0" w:line="173" w:lineRule="exact"/>
        <w:rPr>
          <w:sz w:val="20"/>
          <w:szCs w:val="20"/>
          <w:color w:val="auto"/>
        </w:rPr>
      </w:pPr>
    </w:p>
    <w:p>
      <w:pPr>
        <w:ind w:right="22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CenterPoint Energy Appointment of Chief Operating Officer. </w:t>
      </w:r>
      <w:r>
        <w:rPr>
          <w:rFonts w:ascii="Times New Roman" w:cs="Times New Roman" w:eastAsia="Times New Roman" w:hAnsi="Times New Roman"/>
          <w:sz w:val="14"/>
          <w:szCs w:val="14"/>
          <w:color w:val="auto"/>
        </w:rPr>
        <w:t>On July 21, 2025, CenterPoint Energy announced the appointment of Jesus Soto, Jr. to the position of Executive Vice President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Chief Operating Officer of CenterPoint Energy, effective August 11, 2025.</w:t>
      </w:r>
    </w:p>
    <w:p>
      <w:pPr>
        <w:spacing w:after="0" w:line="141"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OBBBA and Executive Order 14315. </w:t>
      </w:r>
      <w:r>
        <w:rPr>
          <w:rFonts w:ascii="Times New Roman" w:cs="Times New Roman" w:eastAsia="Times New Roman" w:hAnsi="Times New Roman"/>
          <w:sz w:val="14"/>
          <w:szCs w:val="14"/>
          <w:color w:val="auto"/>
        </w:rPr>
        <w:t>On July 4, 2025, the OBBBA was signed into law. The OBBBA includes significant provisions, such as the permanent extension of certain expiring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provisions of the TCJA and numerous changes to the energy tax credits initially introduced and expanded under the IRA. The legislation has multiple effective dates, with certain provisions effective in 2025 and others implemented through 2027. Additionally, on July 7, 2025, President Trump issued Executive Order 14315, which relates to the implementation of such changes to energy tax credits. The Registrants have assessed the potential effects of the OBBBA and Executive Order 14315 and concluded that neither is expected to have a material impact on their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66" w:name="page67"/>
    <w:bookmarkEnd w:id="66"/>
    <w:p>
      <w:pPr>
        <w:ind w:right="260"/>
        <w:spacing w:after="0" w:line="287" w:lineRule="auto"/>
        <w:rPr>
          <w:sz w:val="20"/>
          <w:szCs w:val="20"/>
          <w:color w:val="auto"/>
        </w:rPr>
      </w:pPr>
      <w:r>
        <w:rPr>
          <w:rFonts w:ascii="Times New Roman" w:cs="Times New Roman" w:eastAsia="Times New Roman" w:hAnsi="Times New Roman"/>
          <w:sz w:val="14"/>
          <w:szCs w:val="14"/>
          <w:color w:val="auto"/>
        </w:rPr>
        <w:t>future financial results because the Registrants have limited generation activities qualifying for tax credits under the IRA. The Registrants will consider the impacts of the OBBBA and Executive Order 14315, as well as related guidance, on any future generation projects, including any BTAs or PPAs, as applicable.</w:t>
      </w:r>
    </w:p>
    <w:p>
      <w:pPr>
        <w:spacing w:after="0" w:line="133" w:lineRule="exact"/>
        <w:rPr>
          <w:sz w:val="20"/>
          <w:szCs w:val="20"/>
          <w:color w:val="auto"/>
        </w:rPr>
      </w:pPr>
    </w:p>
    <w:p>
      <w:pPr>
        <w:jc w:val="both"/>
        <w:ind w:right="120" w:firstLine="25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Transactions. </w:t>
      </w:r>
      <w:r>
        <w:rPr>
          <w:rFonts w:ascii="Times New Roman" w:cs="Times New Roman" w:eastAsia="Times New Roman" w:hAnsi="Times New Roman"/>
          <w:sz w:val="14"/>
          <w:szCs w:val="14"/>
          <w:color w:val="auto"/>
        </w:rPr>
        <w:t>In April 2025, Centerpoint Energy entered into forward sales agreements pursuant to the Equity Distribution Agreement with certain of the ATM Forward Purchasers.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May 2025, CenterPoint Energy entered into separate forward sale agreements with certain financial institutions. For further information about forward sales in 2025, see Note 11 to the consolidated financial statements.</w:t>
      </w:r>
    </w:p>
    <w:p>
      <w:pPr>
        <w:spacing w:after="0" w:line="16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Regulatory Proceedings. </w:t>
      </w:r>
      <w:r>
        <w:rPr>
          <w:rFonts w:ascii="Times New Roman" w:cs="Times New Roman" w:eastAsia="Times New Roman" w:hAnsi="Times New Roman"/>
          <w:sz w:val="14"/>
          <w:szCs w:val="14"/>
          <w:color w:val="auto"/>
        </w:rPr>
        <w:t>In 2024, Houston Electric filed an Application for Determination of System Restoration Costs and a Financing Order with the PUCT for the May 2024 Storm Events,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which were settled in 2025. In 2025, Houston Electric filed an Application for Determination of System Restoration Costs and a Financing Order with the PUCT for Hurricane Beryl and subsequent storm events, which were settled in 2025. For further information, see Note 7 to the consolidated financial statements. For information related to our pending and completed regulatory proceedings in 2025 and to date in 2026, see “—Liquidity and Capital Resources —Regulatory Matters” below.</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CERTAIN FACTORS AFFECTING FUTURE EARNINGS</w:t>
      </w:r>
    </w:p>
    <w:p>
      <w:pPr>
        <w:spacing w:after="0" w:line="202"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Our past earnings and results of operations are not necessarily indicative of our future earnings and results of operations. The magnitude of our future earnings and results of our operations will depend on or be affected by numerous factors that apply to all Registrants unless otherwise indicated including:</w:t>
      </w:r>
    </w:p>
    <w:p>
      <w:pPr>
        <w:spacing w:after="0" w:line="145" w:lineRule="exact"/>
        <w:rPr>
          <w:sz w:val="20"/>
          <w:szCs w:val="20"/>
          <w:color w:val="auto"/>
        </w:rPr>
      </w:pPr>
    </w:p>
    <w:p>
      <w:pPr>
        <w:jc w:val="both"/>
        <w:ind w:left="520" w:right="300" w:hanging="260"/>
        <w:spacing w:after="0" w:line="260"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LDC business, which we cannot assure will have the anticipated benefits to us;</w:t>
      </w:r>
    </w:p>
    <w:p>
      <w:pPr>
        <w:ind w:left="520" w:right="240" w:hanging="260"/>
        <w:spacing w:after="0" w:line="25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and energy consumption, including in relation to the expansion of data centers (associated with, among other things, increasing demand for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relating to such matters;</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our 10-year capital plan;</w:t>
      </w:r>
    </w:p>
    <w:p>
      <w:pPr>
        <w:spacing w:after="0" w:line="8" w:lineRule="exact"/>
        <w:rPr>
          <w:rFonts w:ascii="Times New Roman" w:cs="Times New Roman" w:eastAsia="Times New Roman" w:hAnsi="Times New Roman"/>
          <w:sz w:val="14"/>
          <w:szCs w:val="14"/>
          <w:color w:val="auto"/>
        </w:rPr>
      </w:pPr>
    </w:p>
    <w:p>
      <w:pPr>
        <w:ind w:left="520" w:right="340" w:hanging="260"/>
        <w:spacing w:after="0" w:line="25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w:t>
      </w:r>
    </w:p>
    <w:p>
      <w:pPr>
        <w:ind w:left="520" w:right="60" w:hanging="260"/>
        <w:spacing w:after="0" w:line="25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replace and restart electric generating facilities, natural gas facilities, TEEEF and electric transmission facilities, as applicable, including in the event of an outage and in relation to complying with applicable environmental, reliability and safety standards;</w:t>
      </w:r>
    </w:p>
    <w:p>
      <w:pPr>
        <w:ind w:left="520" w:right="280" w:hanging="260"/>
        <w:spacing w:after="0" w:line="25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 applicable TEEEF leases and restoration costs relating to, among other things, Hurricane Beryl, and requested or favorable adjustments to rates and approval of other requested items as part of base rate proceedings or interim rate mechanisms;</w:t>
      </w:r>
    </w:p>
    <w:p>
      <w:pPr>
        <w:ind w:left="520" w:hanging="260"/>
        <w:spacing w:after="0" w:line="25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and our ability to obtain approval for matters relating to, Houston Electric’s release of its large TEEEF units to the San Antonio area, proposed release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w:t>
      </w:r>
    </w:p>
    <w:p>
      <w:pPr>
        <w:ind w:left="520" w:right="40" w:hanging="260"/>
        <w:spacing w:after="0" w:line="25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and increases in inflation and interest rates, and their effect on sales, prices and costs;</w:t>
      </w:r>
    </w:p>
    <w:p>
      <w:pPr>
        <w:ind w:left="520" w:right="40" w:hanging="260"/>
        <w:spacing w:after="0" w:line="253"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including the impact of severe weather events on operations, capital, legislation and/or regulations, such as seen in connection with the February 2021 Winter Storm Event, the May 2024 Storm Events and Hurricane Beryl;</w:t>
      </w:r>
    </w:p>
    <w:p>
      <w:pPr>
        <w:ind w:left="520" w:right="60" w:hanging="260"/>
        <w:spacing w:after="0" w:line="259"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67" w:name="page68"/>
    <w:bookmarkEnd w:id="67"/>
    <w:p>
      <w:pPr>
        <w:ind w:left="260" w:right="80" w:hanging="260"/>
        <w:spacing w:after="0" w:line="26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ind w:left="260" w:right="14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7" w:lineRule="exact"/>
        <w:rPr>
          <w:rFonts w:ascii="Times New Roman" w:cs="Times New Roman" w:eastAsia="Times New Roman" w:hAnsi="Times New Roman"/>
          <w:sz w:val="14"/>
          <w:szCs w:val="14"/>
          <w:color w:val="auto"/>
        </w:rPr>
      </w:pPr>
    </w:p>
    <w:p>
      <w:pPr>
        <w:ind w:left="260" w:right="60" w:hanging="260"/>
        <w:spacing w:after="0"/>
        <w:tabs>
          <w:tab w:leader="none" w:pos="235" w:val="left"/>
        </w:tabs>
        <w:numPr>
          <w:ilvl w:val="0"/>
          <w:numId w:val="27"/>
        </w:numPr>
        <w:rPr>
          <w:rFonts w:ascii="Arial" w:cs="Arial" w:eastAsia="Arial" w:hAnsi="Arial"/>
          <w:sz w:val="17"/>
          <w:szCs w:val="17"/>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w:t>
      </w:r>
    </w:p>
    <w:p>
      <w:pPr>
        <w:spacing w:after="0" w:line="2" w:lineRule="exact"/>
        <w:rPr>
          <w:rFonts w:ascii="Arial" w:cs="Arial" w:eastAsia="Arial" w:hAnsi="Arial"/>
          <w:sz w:val="17"/>
          <w:szCs w:val="17"/>
          <w:color w:val="auto"/>
        </w:rPr>
      </w:pPr>
    </w:p>
    <w:p>
      <w:pPr>
        <w:ind w:left="260" w:right="8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inflation, labor shortages and scarcity of certain materials, including as a result of changes in U.S. and foreign trade policy, geopolitical and economic uncertainty, regulatory and policy instability, severe weather and other catastrophic events, changes in laws, executive orders, legislation and other governmental action, increased competition for skilled labor and increases in demand for electricity, that could prevent CenterPoint Energy from securing the resources and labor needed to, among other things, fully execute on its strategy and 10-year capital plan, and otherwise impact the affordability of our rates for our customers;</w:t>
      </w:r>
    </w:p>
    <w:p>
      <w:pPr>
        <w:ind w:left="260" w:hanging="260"/>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maintenance costs, our ability to control such costs and cost-related impacts on the affordability of our rates for our customers;</w:t>
      </w:r>
    </w:p>
    <w:p>
      <w:pPr>
        <w:spacing w:after="0" w:line="8" w:lineRule="exact"/>
        <w:rPr>
          <w:rFonts w:ascii="Times New Roman" w:cs="Times New Roman" w:eastAsia="Times New Roman" w:hAnsi="Times New Roman"/>
          <w:sz w:val="14"/>
          <w:szCs w:val="14"/>
          <w:color w:val="auto"/>
        </w:rPr>
      </w:pPr>
    </w:p>
    <w:p>
      <w:pPr>
        <w:ind w:left="260" w:right="4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licenses, permits, easements and approvals from local, federal and other regulatory authorities on acceptable terms and resolve third-party challenges to such licenses, permits or approvals as applicable;</w:t>
      </w:r>
    </w:p>
    <w:p>
      <w:pPr>
        <w:jc w:val="both"/>
        <w:ind w:left="260" w:right="14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w:t>
      </w:r>
    </w:p>
    <w:p>
      <w:pPr>
        <w:ind w:left="26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w:t>
      </w:r>
    </w:p>
    <w:p>
      <w:pPr>
        <w:ind w:left="260" w:right="24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damages to our network, facilities and systems, including as a result of wildfires, as well as to third-party property resulting in outages or shortages in our service territories, and losses in excess of insurance liability coverage;</w:t>
      </w:r>
    </w:p>
    <w:p>
      <w:pPr>
        <w:ind w:left="260" w:right="30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guidance and any changes in tax laws under the current or future administrations, including any further changes to or clarification of the IRA or the OBBBA, and any potential changes to tax rates, CAMT imposed, tax credits and/or interest deductibility, as well as uncertainties involving state commissions’ and local municipalities’ regulatory requirements and determinations regarding the treatment of EDIT and our rates;</w:t>
      </w:r>
    </w:p>
    <w:p>
      <w:pPr>
        <w:ind w:left="260" w:hanging="260"/>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8" w:lineRule="exact"/>
        <w:rPr>
          <w:rFonts w:ascii="Times New Roman" w:cs="Times New Roman" w:eastAsia="Times New Roman" w:hAnsi="Times New Roman"/>
          <w:sz w:val="14"/>
          <w:szCs w:val="14"/>
          <w:color w:val="auto"/>
        </w:rPr>
      </w:pPr>
    </w:p>
    <w:p>
      <w:pPr>
        <w:jc w:val="both"/>
        <w:ind w:left="260" w:right="8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GHG emissions, carbon emissions, wastewater discharges and the handling and disposal of CCR that could impact operations, cost recovery of generation plant costs and related assets, and CenterPoint Energy’s energy transition goals;</w:t>
      </w:r>
    </w:p>
    <w:p>
      <w:pPr>
        <w:ind w:left="260" w:hanging="260"/>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8" w:lineRule="exact"/>
        <w:rPr>
          <w:rFonts w:ascii="Times New Roman" w:cs="Times New Roman" w:eastAsia="Times New Roman" w:hAnsi="Times New Roman"/>
          <w:sz w:val="14"/>
          <w:szCs w:val="14"/>
          <w:color w:val="auto"/>
        </w:rPr>
      </w:pPr>
    </w:p>
    <w:p>
      <w:pPr>
        <w:ind w:left="260" w:right="420" w:hanging="260"/>
        <w:spacing w:after="0" w:line="253" w:lineRule="auto"/>
        <w:tabs>
          <w:tab w:leader="none" w:pos="2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CenterPoint Energy’s pension and postretirement benefit plans, such as the investment performance and increases to net periodic costs as a result of plan settlements and changes in assumptions, including discount rates;</w:t>
      </w:r>
    </w:p>
    <w:p>
      <w:pPr>
        <w:ind w:left="260" w:hanging="260"/>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CenterPoint Energy’s pension benefit obligation;</w:t>
      </w:r>
    </w:p>
    <w:p>
      <w:pPr>
        <w:spacing w:after="0" w:line="200" w:lineRule="exact"/>
        <w:rPr>
          <w:sz w:val="20"/>
          <w:szCs w:val="20"/>
          <w:color w:val="auto"/>
        </w:rPr>
      </w:pPr>
    </w:p>
    <w:p>
      <w:pPr>
        <w:spacing w:after="0" w:line="23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729" w:right="339" w:bottom="1440" w:gutter="0" w:footer="0" w:header="0"/>
        </w:sectPr>
      </w:pPr>
    </w:p>
    <w:bookmarkStart w:id="68" w:name="page69"/>
    <w:bookmarkEnd w:id="68"/>
    <w:p>
      <w:pPr>
        <w:ind w:left="260" w:hanging="260"/>
        <w:spacing w:after="0" w:line="26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8" w:lineRule="exact"/>
        <w:rPr>
          <w:rFonts w:ascii="Times New Roman" w:cs="Times New Roman" w:eastAsia="Times New Roman" w:hAnsi="Times New Roman"/>
          <w:sz w:val="14"/>
          <w:szCs w:val="14"/>
          <w:color w:val="auto"/>
        </w:rPr>
      </w:pPr>
    </w:p>
    <w:p>
      <w:pPr>
        <w:ind w:left="260" w:right="80" w:hanging="260"/>
        <w:spacing w:after="0" w:line="25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w:t>
      </w:r>
    </w:p>
    <w:p>
      <w:pPr>
        <w:ind w:left="260" w:right="260" w:hanging="260"/>
        <w:spacing w:after="0" w:line="25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an appropriately qualified workforce, identify and develop top talent to succeed management and maintain good labor relations;</w:t>
      </w:r>
    </w:p>
    <w:p>
      <w:pPr>
        <w:ind w:left="260" w:right="380" w:hanging="260"/>
        <w:spacing w:after="0" w:line="253" w:lineRule="auto"/>
        <w:tabs>
          <w:tab w:leader="none" w:pos="25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including with respect to efficient battery storage or the emergence or growth of new, developing or alternative sources of generation, and their adoption by consumers, and our ability to anticipate, adapt to and implement technological changes;</w:t>
      </w: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ability to execute on its strategy, initiatives, targets and goals, including energy transition goals and operations and maintenance expenditure goals;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“Risk Factors” in Part I, Item 1A of this report and in other reports that the Registrants file from time to time with the SEC.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60" w:top="729" w:right="59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CONSOLIDATED RESULTS OF OPERATIONS</w:t>
      </w:r>
    </w:p>
    <w:p>
      <w:pPr>
        <w:spacing w:after="0" w:line="202" w:lineRule="exact"/>
        <w:rPr>
          <w:sz w:val="20"/>
          <w:szCs w:val="20"/>
          <w:color w:val="auto"/>
        </w:rPr>
      </w:pPr>
    </w:p>
    <w:p>
      <w:pPr>
        <w:jc w:val="both"/>
        <w:ind w:right="360" w:firstLine="255"/>
        <w:spacing w:after="0" w:line="264" w:lineRule="auto"/>
        <w:rPr>
          <w:sz w:val="20"/>
          <w:szCs w:val="20"/>
          <w:color w:val="auto"/>
        </w:rPr>
      </w:pPr>
      <w:r>
        <w:rPr>
          <w:rFonts w:ascii="Times New Roman" w:cs="Times New Roman" w:eastAsia="Times New Roman" w:hAnsi="Times New Roman"/>
          <w:sz w:val="14"/>
          <w:szCs w:val="14"/>
          <w:color w:val="auto"/>
        </w:rPr>
        <w:t>CenterPoint Energy’s results of operations are affected by seasonal fluctuations in the demand for electricity and natural gas. CenterPoint Energy’s results of operations are also affected by, among other things, the actions of various governmental authorities having jurisdiction over rates its subsidiaries charge, debt service costs, income tax expense, its subsidiaries ability to collect receivables from REPs and customers and its ability to recover its regulatory assets. For information regarding factors that may affect the future results of our consolidated operations, see “Risk Factors” in Part I, Item 1A of this report.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(loss) available to common shareholders was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1"/>
        </w:trPr>
        <w:tc>
          <w:tcPr>
            <w:tcW w:w="49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2024 to 2023</w:t>
            </w:r>
          </w:p>
        </w:tc>
      </w:tr>
      <w:tr>
        <w:trPr>
          <w:trHeight w:val="160"/>
        </w:trPr>
        <w:tc>
          <w:tcPr>
            <w:tcW w:w="4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38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center"/>
              <w:ind w:left="656"/>
              <w:spacing w:after="0"/>
              <w:rPr>
                <w:sz w:val="20"/>
                <w:szCs w:val="20"/>
                <w:color w:val="auto"/>
              </w:rPr>
            </w:pPr>
            <w:r>
              <w:rPr>
                <w:rFonts w:ascii="Times New Roman" w:cs="Times New Roman" w:eastAsia="Times New Roman" w:hAnsi="Times New Roman"/>
                <w:sz w:val="13"/>
                <w:szCs w:val="13"/>
                <w:color w:val="auto"/>
                <w:w w:val="92"/>
              </w:rPr>
              <w:t>654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 (1)</w:t>
            </w:r>
          </w:p>
        </w:tc>
        <w:tc>
          <w:tcPr>
            <w:tcW w:w="8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left="656"/>
              <w:spacing w:after="0"/>
              <w:rPr>
                <w:sz w:val="20"/>
                <w:szCs w:val="20"/>
                <w:color w:val="auto"/>
              </w:rPr>
            </w:pPr>
            <w:r>
              <w:rPr>
                <w:rFonts w:ascii="Times New Roman" w:cs="Times New Roman" w:eastAsia="Times New Roman" w:hAnsi="Times New Roman"/>
                <w:sz w:val="13"/>
                <w:szCs w:val="13"/>
                <w:color w:val="auto"/>
                <w:w w:val="92"/>
              </w:rPr>
              <w:t>533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&amp; Other (2)</w:t>
            </w:r>
          </w:p>
        </w:tc>
        <w:tc>
          <w:tcPr>
            <w:tcW w:w="8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3"/>
                <w:szCs w:val="13"/>
                <w:color w:val="auto"/>
                <w:w w:val="99"/>
              </w:rPr>
              <w:t>(320)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60"/>
        </w:trPr>
        <w:tc>
          <w:tcPr>
            <w:tcW w:w="4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CenterPoint Energy</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center"/>
              <w:ind w:left="656"/>
              <w:spacing w:after="0"/>
              <w:rPr>
                <w:sz w:val="20"/>
                <w:szCs w:val="20"/>
                <w:color w:val="auto"/>
              </w:rPr>
            </w:pPr>
            <w:r>
              <w:rPr>
                <w:rFonts w:ascii="Times New Roman" w:cs="Times New Roman" w:eastAsia="Times New Roman" w:hAnsi="Times New Roman"/>
                <w:sz w:val="13"/>
                <w:szCs w:val="13"/>
                <w:color w:val="auto"/>
                <w:w w:val="92"/>
              </w:rPr>
              <w:t>867</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20"/>
        </w:trPr>
        <w:tc>
          <w:tcPr>
            <w:tcW w:w="4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results of operations from Louisiana and Mississippi natural gas LDC businesses through the date of the sale on March 31, 2025.</w:t>
      </w:r>
    </w:p>
    <w:p>
      <w:pPr>
        <w:spacing w:after="0" w:line="23" w:lineRule="exact"/>
        <w:rPr>
          <w:rFonts w:ascii="Times New Roman" w:cs="Times New Roman" w:eastAsia="Times New Roman" w:hAnsi="Times New Roman"/>
          <w:sz w:val="14"/>
          <w:szCs w:val="14"/>
          <w:color w:val="auto"/>
        </w:rPr>
      </w:pPr>
    </w:p>
    <w:p>
      <w:pPr>
        <w:ind w:left="520" w:right="60" w:hanging="260"/>
        <w:spacing w:after="0" w:line="259" w:lineRule="auto"/>
        <w:tabs>
          <w:tab w:leader="none" w:pos="51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energy performance contracting and sustainable infrastructure services through Energy Systems Group through the date of sale on June 30, 2023, unallocated corporate costs, interest income and interest expense, intercompany eliminations and the reduction of income allocated to preferred shareholders through September 1, 2023, the date of the redemption of all of the outstanding shares of the Series A Preferred Stock.</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2025 Compared to 2024</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available to common shareholders increased $33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$34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$4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ind w:left="520" w:right="120" w:hanging="260"/>
        <w:spacing w:after="0" w:line="25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income available to common shareholders of $5 million for the Corporate and Other reportable segment, primarily due to increased borrowing costs of approximately $37 million, offset by a $21 million gain on early extinguishment of debt using proceeds from the divestiture of the Louisiana and Mississippi natural gas LDCs, and a $20 million gain on early extinguishment of debt associated with the October 2025 tender offer, which is further discussed in Note 12 to the consolidated financial statements. The remaining variance is primarily driven by an increase in other corporate expenses, including expenses associated with proposed divestitures.</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2024 Compared to 2023</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 available to common shareholders increased $152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$17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$33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ind w:left="520" w:right="360" w:hanging="260"/>
        <w:spacing w:after="0" w:line="256"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$102 million for the Corporate and Other reportable segment, primarily due to $50 million of income allocated to holders of Series A Preferred Stock in 2023 prior to the redemption of all outstanding shares of Series A Preferred Stock in September 2023 as discussed in Note 11 to the consolidated financial statements, a loss on sale of $13 million and current tax expense of $32 million related to the divestiture of Energy Systems Group recorded in 2023 further discussed in Note 4 to the consolidated financial statements, $19 million due to remeasurement of deferred income tax balances recorded during 2023, as well as $8 million due to lower state income taxes. The remaining variance is due largely to an increase in borrowing costs.</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ENERGY’S RESULTS OF OPERATIONS BY REPORTABLE SEGMENT</w:t>
      </w:r>
    </w:p>
    <w:p>
      <w:pPr>
        <w:spacing w:after="0" w:line="20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views net income as the measure of profit or loss for the reportable segments. Segment results include inter-segment interest income and expense, which may result in inter-segment profit and loss.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of CenterPoint Energy’s results of operations is separated into two reportable segments, Electric and Natural Gas.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Electric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Electric reportable segment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1"/>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 to 2023</w:t>
            </w:r>
          </w:p>
        </w:tc>
      </w:tr>
      <w:tr>
        <w:trPr>
          <w:trHeight w:val="160"/>
        </w:trPr>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80" w:type="dxa"/>
            <w:vAlign w:val="bottom"/>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 except throughput, weather and customer data)</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4,866</w:t>
            </w:r>
          </w:p>
        </w:tc>
        <w:tc>
          <w:tcPr>
            <w:tcW w:w="3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300</w:t>
            </w:r>
          </w:p>
        </w:tc>
      </w:tr>
      <w:tr>
        <w:trPr>
          <w:trHeight w:val="15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Expenses:</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(192)</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(32)</w:t>
            </w:r>
          </w:p>
        </w:tc>
      </w:tr>
      <w:tr>
        <w:trPr>
          <w:trHeight w:val="16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3,621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3,451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(251)</w:t>
            </w:r>
          </w:p>
        </w:tc>
      </w:tr>
      <w:tr>
        <w:trPr>
          <w:trHeight w:val="15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1,245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1,139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1,090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4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2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(69)</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r>
      <w:tr>
        <w:trPr>
          <w:trHeight w:val="15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877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828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671</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2"/>
        </w:trPr>
        <w:tc>
          <w:tcPr>
            <w:tcW w:w="40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Throughput (in GWh):</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35,547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34,190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35,166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116,076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110,831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108,766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Weather (percentage of normal weather for service area):</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Cooling degree days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Heating degree days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2,679,575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2,640,150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2,588,510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3,013,715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2,971,730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2,916,028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by major income statement caption for the Electric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4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27"/>
        </w:trPr>
        <w:tc>
          <w:tcPr>
            <w:tcW w:w="76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w:t>
            </w: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68"/>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maintenance below</w:t>
            </w:r>
          </w:p>
        </w:tc>
        <w:tc>
          <w:tcPr>
            <w:tcW w:w="1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operation and maintenance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return, related to the annual true-up of transition charges for amounts over or under collected in prior periods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Pass-through revenues, offset in operation and maintenance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revenues, including service connections and off-system sales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Lost revenues as a result of outages associated with Hurricane Beryl in 2024</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below</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and purchased power, offset in utility natural gas, fuel and purchased power below</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Utility natural gas, fuel and purchased power</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purchased power,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including coal, natural gas, and fuel oil, offset in revenues above</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29"/>
        </w:trPr>
        <w:tc>
          <w:tcPr>
            <w:tcW w:w="7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Incremental storm expenses, including storm hardening expenses incurred in connection with accelerated operational activities after Hurricane</w:t>
            </w:r>
          </w:p>
        </w:tc>
        <w:tc>
          <w:tcPr>
            <w:tcW w:w="13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7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Beryl in 2024</w:t>
            </w:r>
          </w:p>
        </w:tc>
        <w:tc>
          <w:tcPr>
            <w:tcW w:w="13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expense associated with TEEEF units no longer eligible for regulatory deferral</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Franchise fees and other taxes</w:t>
            </w:r>
          </w:p>
        </w:tc>
        <w:tc>
          <w:tcPr>
            <w:tcW w:w="13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3"/>
        </w:trPr>
        <w:tc>
          <w:tcPr>
            <w:tcW w:w="7680" w:type="dxa"/>
            <w:vAlign w:val="bottom"/>
            <w:tcBorders>
              <w:top w:val="single" w:sz="8" w:color="CCEEFF"/>
            </w:tcBorders>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top w:val="single" w:sz="8" w:color="auto"/>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(expense), net</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7680" w:type="dxa"/>
            <w:vAlign w:val="bottom"/>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13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2" w:name="page73"/>
    <w:bookmarkEnd w:id="72"/>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Natural Gas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Natural Gas reportable segment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1"/>
        </w:trPr>
        <w:tc>
          <w:tcPr>
            <w:tcW w:w="4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2024 to 2023</w:t>
            </w:r>
          </w:p>
        </w:tc>
      </w:tr>
      <w:tr>
        <w:trPr>
          <w:trHeight w:val="160"/>
        </w:trPr>
        <w:tc>
          <w:tcPr>
            <w:tcW w:w="4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60" w:type="dxa"/>
            <w:vAlign w:val="bottom"/>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rPr>
              <w:t>(in millions, except throughput, weather and customer data)</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4,486</w:t>
            </w: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4,279</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(229)</w:t>
            </w:r>
          </w:p>
        </w:tc>
      </w:tr>
      <w:tr>
        <w:trPr>
          <w:trHeight w:val="148"/>
        </w:trPr>
        <w:tc>
          <w:tcPr>
            <w:tcW w:w="4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and fuel</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368</w:t>
            </w: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w:t>
            </w: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46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3,589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3,183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3,598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415</w:t>
            </w:r>
          </w:p>
        </w:tc>
      </w:tr>
      <w:tr>
        <w:trPr>
          <w:trHeight w:val="1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186</w:t>
            </w:r>
          </w:p>
        </w:tc>
      </w:tr>
      <w:tr>
        <w:trPr>
          <w:trHeight w:val="148"/>
        </w:trPr>
        <w:tc>
          <w:tcPr>
            <w:tcW w:w="4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00" w:type="dxa"/>
            <w:vAlign w:val="bottom"/>
          </w:tcPr>
          <w:p>
            <w:pPr>
              <w:spacing w:after="0"/>
              <w:rPr>
                <w:sz w:val="14"/>
                <w:szCs w:val="14"/>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00" w:type="dxa"/>
            <w:vAlign w:val="bottom"/>
          </w:tcPr>
          <w:p>
            <w:pPr>
              <w:spacing w:after="0"/>
              <w:rPr>
                <w:sz w:val="13"/>
                <w:szCs w:val="13"/>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674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166</w:t>
            </w: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(133)</w:t>
            </w:r>
          </w:p>
        </w:tc>
      </w:tr>
      <w:tr>
        <w:trPr>
          <w:trHeight w:val="160"/>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1"/>
        </w:trPr>
        <w:tc>
          <w:tcPr>
            <w:tcW w:w="4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68"/>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63"/>
        </w:trPr>
        <w:tc>
          <w:tcPr>
            <w:tcW w:w="4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Throughput</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31"/>
        </w:trPr>
        <w:tc>
          <w:tcPr>
            <w:tcW w:w="4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68"/>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Heating degree days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3,739,919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4,063,928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4,010,113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289,166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304,606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303,841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3"/>
        </w:trPr>
        <w:tc>
          <w:tcPr>
            <w:tcW w:w="4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4,029,085</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4,368,534</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4,313,954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23" w:lineRule="exact"/>
        <w:rPr>
          <w:sz w:val="20"/>
          <w:szCs w:val="20"/>
          <w:color w:val="auto"/>
        </w:rPr>
      </w:pPr>
    </w:p>
    <w:p>
      <w:pPr>
        <w:ind w:right="80" w:firstLine="132"/>
        <w:spacing w:after="0" w:line="287" w:lineRule="auto"/>
        <w:tabs>
          <w:tab w:leader="none" w:pos="32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number of metered customers from 2024 to 2025 is primarily attributable to customer accounts associated with the divestiture of the Louisiana and Mississippi natural gas LDCs in March 2025. See Note 4 for additional detail.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3" w:name="page74"/>
    <w:bookmarkEnd w:id="73"/>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by major income statement caption for the Natural Gas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420" w:type="dxa"/>
            <w:vAlign w:val="bottom"/>
            <w:tcBorders>
              <w:bottom w:val="single" w:sz="8" w:color="auto"/>
            </w:tcBorders>
          </w:tcPr>
          <w:p>
            <w:pPr>
              <w:spacing w:after="0"/>
              <w:rPr>
                <w:sz w:val="14"/>
                <w:szCs w:val="14"/>
                <w:color w:val="auto"/>
              </w:rPr>
            </w:pPr>
          </w:p>
        </w:tc>
      </w:t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420" w:type="dxa"/>
            <w:vAlign w:val="bottom"/>
            <w:tcBorders>
              <w:bottom w:val="single" w:sz="8" w:color="auto"/>
            </w:tcBorders>
          </w:tcPr>
          <w:p>
            <w:pPr>
              <w:spacing w:after="0"/>
              <w:rPr>
                <w:sz w:val="14"/>
                <w:szCs w:val="14"/>
                <w:color w:val="auto"/>
              </w:rPr>
            </w:pPr>
          </w:p>
        </w:tc>
      </w:tr>
      <w:tr>
        <w:trPr>
          <w:trHeight w:val="159"/>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3"/>
                <w:szCs w:val="13"/>
                <w:color w:val="auto"/>
              </w:rPr>
            </w:pPr>
          </w:p>
        </w:tc>
      </w:tr>
      <w:tr>
        <w:trPr>
          <w:trHeight w:val="150"/>
        </w:trPr>
        <w:tc>
          <w:tcPr>
            <w:tcW w:w="768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63"/>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and fuel below</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Utility natural gas and fuel</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Non-utility costs of revenues, including natural gas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expenses, including bad debt expense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Loss on Sale</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Loss on sale of Louisiana and Mississippi natural gas LDC businesses</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(expense), net</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Changes to non-service benefit cost</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interest income from affiliated companies and AFUDC - Equity</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(Benefit). </w:t>
      </w:r>
      <w:r>
        <w:rPr>
          <w:rFonts w:ascii="Times New Roman" w:cs="Times New Roman" w:eastAsia="Times New Roman" w:hAnsi="Times New Roman"/>
          <w:sz w:val="14"/>
          <w:szCs w:val="14"/>
          <w:color w:val="auto"/>
        </w:rPr>
        <w:t>For a discussion of effective tax rate per period by Registrant, see Note 13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 CONSOLIDATED RESULTS OF OPERATIONS</w:t>
      </w:r>
    </w:p>
    <w:p>
      <w:pPr>
        <w:spacing w:after="0" w:line="20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information regarding factors that may affect the future results of Houston Electric’s consolidated operations, see “Risk Factors” in Item 1A of Part I of this report.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Houston Electric’s single reportable segment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80" w:type="dxa"/>
            <w:vAlign w:val="bottom"/>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 except throughput, weather and customer data)</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TDU</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4,067</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3,862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4,084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3,939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3,677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 excluding Bond Companies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1,923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 excluding Bond Companies</w:t>
            </w: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3,032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2,984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2,683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15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20" w:type="dxa"/>
            <w:vAlign w:val="bottom"/>
          </w:tcPr>
          <w:p>
            <w:pPr>
              <w:spacing w:after="0"/>
              <w:rPr>
                <w:sz w:val="13"/>
                <w:szCs w:val="13"/>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955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994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2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Throughput (in GWh):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34,101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32,769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33,830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111,083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106,014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103,862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Cooling degree days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Heating degree days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2,544,880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2,506,284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2,455,309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5"/>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2,859,313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2,818,343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2,763,535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by major income statement caption for Houston Electric: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4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27"/>
        </w:trPr>
        <w:tc>
          <w:tcPr>
            <w:tcW w:w="76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w:t>
            </w: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68"/>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maintenance below</w:t>
            </w:r>
          </w:p>
        </w:tc>
        <w:tc>
          <w:tcPr>
            <w:tcW w:w="1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operation and maintenance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revenues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Lost revenues as a result of outages associated with Hurricane Beryl in 2024</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return, related to the annual true-up of transition charges for amounts over or under collected in prior periods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offset in other line items below</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Operation and maintenance, excluding Bond Companies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29"/>
        </w:trPr>
        <w:tc>
          <w:tcPr>
            <w:tcW w:w="7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Incremental storm expenses, including storm hardening expenses incurred in connection with accelerated operational activities after Hurricane</w:t>
            </w:r>
          </w:p>
        </w:tc>
        <w:tc>
          <w:tcPr>
            <w:tcW w:w="13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7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Beryl in 2024</w:t>
            </w:r>
          </w:p>
        </w:tc>
        <w:tc>
          <w:tcPr>
            <w:tcW w:w="13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offset in revenues above</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Depreciation and amortization, excluding Bond Companies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Lease expense associated with TEEEF units no longer eligible for regulatory deferral</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changes to tax rates</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Franchise fees and other taxes</w:t>
            </w:r>
          </w:p>
        </w:tc>
        <w:tc>
          <w:tcPr>
            <w:tcW w:w="13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3"/>
        </w:trPr>
        <w:tc>
          <w:tcPr>
            <w:tcW w:w="7680" w:type="dxa"/>
            <w:vAlign w:val="bottom"/>
            <w:tcBorders>
              <w:top w:val="single" w:sz="8" w:color="CCEEFF"/>
            </w:tcBorders>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top w:val="single" w:sz="8" w:color="auto"/>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6"/>
              </w:rPr>
              <w:t>Bond Companies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Operations and maintenance and depreciation expense,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Interest expense on Securitization Bonds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 in outstanding principal balance, offset in revenues above</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interest income, offset in other line items</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CERC CONSOLIDATED RESULTS OF OPERATIONS</w:t>
      </w:r>
    </w:p>
    <w:p>
      <w:pPr>
        <w:spacing w:after="0" w:line="20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CERC’s CODM views net income as the measure of profit or loss for its reportable segment. CERC consists of a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information regarding factors that may affect the future results of CERC’s consolidated operations, see “Risk Factors” in Item 1A of Part I of this report.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CERC’s single reportable segment for the periods presented: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1"/>
        </w:trPr>
        <w:tc>
          <w:tcPr>
            <w:tcW w:w="4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 to 2023</w:t>
            </w:r>
          </w:p>
        </w:tc>
      </w:tr>
      <w:tr>
        <w:trPr>
          <w:trHeight w:val="160"/>
        </w:trPr>
        <w:tc>
          <w:tcPr>
            <w:tcW w:w="40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 except throughput, weather and customer data)</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4,344</w:t>
            </w:r>
          </w:p>
        </w:tc>
        <w:tc>
          <w:tcPr>
            <w:tcW w:w="3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4,149</w:t>
            </w:r>
          </w:p>
        </w:tc>
        <w:tc>
          <w:tcPr>
            <w:tcW w:w="30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(224)</w:t>
            </w:r>
          </w:p>
        </w:tc>
      </w:tr>
      <w:tr>
        <w:trPr>
          <w:trHeight w:val="148"/>
        </w:trPr>
        <w:tc>
          <w:tcPr>
            <w:tcW w:w="40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natural gas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367</w:t>
            </w:r>
          </w:p>
        </w:tc>
      </w:tr>
      <w:tr>
        <w:trPr>
          <w:trHeight w:val="168"/>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r>
      <w:tr>
        <w:trPr>
          <w:trHeight w:val="168"/>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r>
      <w:tr>
        <w:trPr>
          <w:trHeight w:val="158"/>
        </w:trPr>
        <w:tc>
          <w:tcPr>
            <w:tcW w:w="4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3,485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3,096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3,499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403</w:t>
            </w:r>
          </w:p>
        </w:tc>
      </w:tr>
      <w:tr>
        <w:trPr>
          <w:trHeight w:val="16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179</w:t>
            </w:r>
          </w:p>
        </w:tc>
      </w:tr>
      <w:tr>
        <w:trPr>
          <w:trHeight w:val="148"/>
        </w:trPr>
        <w:tc>
          <w:tcPr>
            <w:tcW w:w="40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158</w:t>
            </w: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(130)</w:t>
            </w:r>
          </w:p>
        </w:tc>
      </w:tr>
      <w:tr>
        <w:trPr>
          <w:trHeight w:val="160"/>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28</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1"/>
        </w:trPr>
        <w:tc>
          <w:tcPr>
            <w:tcW w:w="40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3"/>
        </w:trPr>
        <w:tc>
          <w:tcPr>
            <w:tcW w:w="40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Throughput</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31"/>
        </w:trPr>
        <w:tc>
          <w:tcPr>
            <w:tcW w:w="40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8"/>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Heating degree days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3,634,422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3,958,584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3,905,388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278,500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293,959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293,235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3"/>
        </w:trPr>
        <w:tc>
          <w:tcPr>
            <w:tcW w:w="40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3,912,922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4,252,543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4,198,623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14" w:lineRule="exact"/>
        <w:rPr>
          <w:sz w:val="20"/>
          <w:szCs w:val="20"/>
          <w:color w:val="auto"/>
        </w:rPr>
      </w:pPr>
    </w:p>
    <w:p>
      <w:pPr>
        <w:ind w:right="60" w:firstLine="260"/>
        <w:spacing w:after="0" w:line="287" w:lineRule="auto"/>
        <w:tabs>
          <w:tab w:leader="none" w:pos="45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number of metered customers is primarily attributable to customer accounts associated with the divestiture of the Louisiana and Mississippi natural gas LDCs in March 2025. See Note 4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7" w:name="page78"/>
    <w:bookmarkEnd w:id="77"/>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by major income statement caption for CERC: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420" w:type="dxa"/>
            <w:vAlign w:val="bottom"/>
            <w:tcBorders>
              <w:bottom w:val="single" w:sz="8" w:color="auto"/>
            </w:tcBorders>
          </w:tcPr>
          <w:p>
            <w:pPr>
              <w:spacing w:after="0"/>
              <w:rPr>
                <w:sz w:val="14"/>
                <w:szCs w:val="14"/>
                <w:color w:val="auto"/>
              </w:rPr>
            </w:pPr>
          </w:p>
        </w:tc>
      </w:t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 to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420" w:type="dxa"/>
            <w:vAlign w:val="bottom"/>
            <w:tcBorders>
              <w:bottom w:val="single" w:sz="8" w:color="auto"/>
            </w:tcBorders>
          </w:tcPr>
          <w:p>
            <w:pPr>
              <w:spacing w:after="0"/>
              <w:rPr>
                <w:sz w:val="14"/>
                <w:szCs w:val="14"/>
                <w:color w:val="auto"/>
              </w:rPr>
            </w:pPr>
          </w:p>
        </w:tc>
      </w:tr>
      <w:tr>
        <w:trPr>
          <w:trHeight w:val="159"/>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4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r>
      <w:tr>
        <w:trPr>
          <w:trHeight w:val="170"/>
        </w:trPr>
        <w:tc>
          <w:tcPr>
            <w:tcW w:w="7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fuel and purchased power below</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Utility natural gas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expenses, including bad debt expense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9"/>
              </w:rPr>
              <w:t>Gain on sale</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sale of Louisiana and Mississippi natural gas LDC businesses</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(expense), net</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to non-service benefit cost</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including interest income from affiliated companies and AFUDC - Equity</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680" w:type="dxa"/>
            <w:vAlign w:val="bottom"/>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(Benefit). </w:t>
      </w:r>
      <w:r>
        <w:rPr>
          <w:rFonts w:ascii="Times New Roman" w:cs="Times New Roman" w:eastAsia="Times New Roman" w:hAnsi="Times New Roman"/>
          <w:sz w:val="14"/>
          <w:szCs w:val="14"/>
          <w:color w:val="auto"/>
        </w:rPr>
        <w:t>For a discussion of effective tax rate per period, see Note 13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Registrants’ cash flows by category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54"/>
        </w:trPr>
        <w:tc>
          <w:tcPr>
            <w:tcW w:w="2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50"/>
        </w:trPr>
        <w:tc>
          <w:tcPr>
            <w:tcW w:w="2340" w:type="dxa"/>
            <w:vAlign w:val="bottom"/>
          </w:tcPr>
          <w:p>
            <w:pPr>
              <w:spacing w:after="0"/>
              <w:rPr>
                <w:sz w:val="13"/>
                <w:szCs w:val="13"/>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45"/>
        </w:trPr>
        <w:tc>
          <w:tcPr>
            <w:tcW w:w="2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0"/>
        </w:trPr>
        <w:tc>
          <w:tcPr>
            <w:tcW w:w="2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provided by (used in):</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2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Operating activities</w:t>
            </w: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2,486</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w w:val="96"/>
              </w:rPr>
              <w:t>1,177</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1"/>
                <w:szCs w:val="11"/>
                <w:color w:val="auto"/>
              </w:rPr>
              <w:t>2,139</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960</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3,877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center"/>
              <w:ind w:left="303"/>
              <w:spacing w:after="0"/>
              <w:rPr>
                <w:sz w:val="20"/>
                <w:szCs w:val="20"/>
                <w:color w:val="auto"/>
              </w:rPr>
            </w:pPr>
            <w:r>
              <w:rPr>
                <w:rFonts w:ascii="Times New Roman" w:cs="Times New Roman" w:eastAsia="Times New Roman" w:hAnsi="Times New Roman"/>
                <w:sz w:val="11"/>
                <w:szCs w:val="11"/>
                <w:color w:val="auto"/>
              </w:rPr>
              <w:t>1,401</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2,312</w:t>
            </w:r>
          </w:p>
        </w:tc>
      </w:tr>
      <w:tr>
        <w:trPr>
          <w:trHeight w:val="153"/>
        </w:trPr>
        <w:tc>
          <w:tcPr>
            <w:tcW w:w="2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Investing activities</w:t>
            </w:r>
          </w:p>
        </w:tc>
        <w:tc>
          <w:tcPr>
            <w:tcW w:w="380" w:type="dxa"/>
            <w:vAlign w:val="bottom"/>
          </w:tcPr>
          <w:p>
            <w:pPr>
              <w:spacing w:after="0"/>
              <w:rPr>
                <w:sz w:val="13"/>
                <w:szCs w:val="13"/>
                <w:color w:val="auto"/>
              </w:rPr>
            </w:pPr>
          </w:p>
        </w:tc>
        <w:tc>
          <w:tcPr>
            <w:tcW w:w="720" w:type="dxa"/>
            <w:vAlign w:val="bottom"/>
          </w:tcPr>
          <w:p>
            <w:pPr>
              <w:jc w:val="center"/>
              <w:ind w:left="183"/>
              <w:spacing w:after="0"/>
              <w:rPr>
                <w:sz w:val="20"/>
                <w:szCs w:val="20"/>
                <w:color w:val="auto"/>
              </w:rPr>
            </w:pPr>
            <w:r>
              <w:rPr>
                <w:rFonts w:ascii="Times New Roman" w:cs="Times New Roman" w:eastAsia="Times New Roman" w:hAnsi="Times New Roman"/>
                <w:sz w:val="11"/>
                <w:szCs w:val="11"/>
                <w:color w:val="auto"/>
                <w:w w:val="99"/>
              </w:rPr>
              <w:t>(4,016)</w:t>
            </w:r>
          </w:p>
        </w:tc>
        <w:tc>
          <w:tcPr>
            <w:tcW w:w="180" w:type="dxa"/>
            <w:vAlign w:val="bottom"/>
          </w:tcPr>
          <w:p>
            <w:pPr>
              <w:spacing w:after="0"/>
              <w:rPr>
                <w:sz w:val="13"/>
                <w:szCs w:val="13"/>
                <w:color w:val="auto"/>
              </w:rPr>
            </w:pPr>
          </w:p>
        </w:tc>
        <w:tc>
          <w:tcPr>
            <w:tcW w:w="780" w:type="dxa"/>
            <w:vAlign w:val="bottom"/>
          </w:tcPr>
          <w:p>
            <w:pPr>
              <w:jc w:val="center"/>
              <w:ind w:left="263"/>
              <w:spacing w:after="0"/>
              <w:rPr>
                <w:sz w:val="20"/>
                <w:szCs w:val="20"/>
                <w:color w:val="auto"/>
              </w:rPr>
            </w:pPr>
            <w:r>
              <w:rPr>
                <w:rFonts w:ascii="Times New Roman" w:cs="Times New Roman" w:eastAsia="Times New Roman" w:hAnsi="Times New Roman"/>
                <w:sz w:val="11"/>
                <w:szCs w:val="11"/>
                <w:color w:val="auto"/>
              </w:rPr>
              <w:t>(2,349)</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auto"/>
                <w:w w:val="99"/>
              </w:rPr>
              <w:t>(4,489)</w:t>
            </w:r>
          </w:p>
        </w:tc>
        <w:tc>
          <w:tcPr>
            <w:tcW w:w="200" w:type="dxa"/>
            <w:vAlign w:val="bottom"/>
          </w:tcPr>
          <w:p>
            <w:pPr>
              <w:spacing w:after="0"/>
              <w:rPr>
                <w:sz w:val="13"/>
                <w:szCs w:val="13"/>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(2,767)</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(4,233)</w:t>
            </w:r>
          </w:p>
        </w:tc>
        <w:tc>
          <w:tcPr>
            <w:tcW w:w="180" w:type="dxa"/>
            <w:vAlign w:val="bottom"/>
          </w:tcPr>
          <w:p>
            <w:pPr>
              <w:spacing w:after="0"/>
              <w:rPr>
                <w:sz w:val="13"/>
                <w:szCs w:val="13"/>
                <w:color w:val="auto"/>
              </w:rPr>
            </w:pP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1"/>
                <w:szCs w:val="11"/>
                <w:color w:val="auto"/>
                <w:w w:val="99"/>
              </w:rPr>
              <w:t>(2,503)</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(1,643)</w:t>
            </w:r>
          </w:p>
        </w:tc>
      </w:tr>
      <w:tr>
        <w:trPr>
          <w:trHeight w:val="165"/>
        </w:trPr>
        <w:tc>
          <w:tcPr>
            <w:tcW w:w="2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Financing activities</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1"/>
                <w:szCs w:val="11"/>
                <w:color w:val="auto"/>
              </w:rPr>
              <w:t>1,549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left="283"/>
              <w:spacing w:after="0"/>
              <w:rPr>
                <w:sz w:val="20"/>
                <w:szCs w:val="20"/>
                <w:color w:val="auto"/>
              </w:rPr>
            </w:pPr>
            <w:r>
              <w:rPr>
                <w:rFonts w:ascii="Times New Roman" w:cs="Times New Roman" w:eastAsia="Times New Roman" w:hAnsi="Times New Roman"/>
                <w:sz w:val="11"/>
                <w:szCs w:val="11"/>
                <w:color w:val="auto"/>
                <w:w w:val="96"/>
              </w:rPr>
              <w:t>1,187</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1"/>
                <w:szCs w:val="11"/>
                <w:color w:val="auto"/>
              </w:rPr>
              <w:t>2,271</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1,732</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374</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center"/>
              <w:ind w:left="303"/>
              <w:spacing w:after="0"/>
              <w:rPr>
                <w:sz w:val="20"/>
                <w:szCs w:val="20"/>
                <w:color w:val="auto"/>
              </w:rPr>
            </w:pPr>
            <w:r>
              <w:rPr>
                <w:rFonts w:ascii="Times New Roman" w:cs="Times New Roman" w:eastAsia="Times New Roman" w:hAnsi="Times New Roman"/>
                <w:sz w:val="11"/>
                <w:szCs w:val="11"/>
                <w:color w:val="auto"/>
              </w:rPr>
              <w:t>1,103</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w:t>
            </w: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Operating Activities. </w:t>
      </w:r>
      <w:r>
        <w:rPr>
          <w:rFonts w:ascii="Times New Roman" w:cs="Times New Roman" w:eastAsia="Times New Roman" w:hAnsi="Times New Roman"/>
          <w:sz w:val="14"/>
          <w:szCs w:val="14"/>
          <w:color w:val="auto"/>
        </w:rPr>
        <w:t>The following items contributed to increased (decreased) net cash provided by operating activities: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1"/>
                <w:szCs w:val="11"/>
                <w:b w:val="1"/>
                <w:bCs w:val="1"/>
                <w:color w:val="auto"/>
              </w:rPr>
              <w:t>2025 compared to 2024</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2024 compared to 2023</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4"/>
        </w:trPr>
        <w:tc>
          <w:tcPr>
            <w:tcW w:w="5220" w:type="dxa"/>
            <w:vAlign w:val="bottom"/>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5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Changes in net income after adjusting for non-cash items</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working capital (1)</w:t>
            </w:r>
          </w:p>
        </w:tc>
        <w:tc>
          <w:tcPr>
            <w:tcW w:w="4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(1,266)</w:t>
            </w: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44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Higher pension contribution</w:t>
            </w: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4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r>
      <w:tr>
        <w:trPr>
          <w:trHeight w:val="175"/>
        </w:trPr>
        <w:tc>
          <w:tcPr>
            <w:tcW w:w="5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(1,738)</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right="120" w:hanging="260"/>
        <w:spacing w:after="0" w:line="287" w:lineRule="auto"/>
        <w:tabs>
          <w:tab w:leader="none" w:pos="51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change is primarily related to the receipt of proceeds at CenterPoint Energy and CERC from the issuance of customer rate relief bonds Texas by the Natural Gas Securitization Finance Corporation in 2023. For further details, see Note 7 to the consolidated financial statements.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The following items contributed to (increased) decreased net cash used in investing activities: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1"/>
                <w:szCs w:val="11"/>
                <w:b w:val="1"/>
                <w:bCs w:val="1"/>
                <w:color w:val="auto"/>
              </w:rPr>
              <w:t>2025 compared to 2024</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2024 compared to 2023</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4"/>
        </w:trPr>
        <w:tc>
          <w:tcPr>
            <w:tcW w:w="5180" w:type="dxa"/>
            <w:vAlign w:val="bottom"/>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5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for asset acquisition</w:t>
            </w: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capital expenditures</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13"/>
                <w:szCs w:val="13"/>
                <w:color w:val="auto"/>
              </w:rPr>
            </w:pPr>
          </w:p>
        </w:tc>
        <w:tc>
          <w:tcPr>
            <w:tcW w:w="52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r>
      <w:tr>
        <w:trPr>
          <w:trHeight w:val="16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 in notes receivable from affiliated companies</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divestitures</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1,219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r>
      <w:tr>
        <w:trPr>
          <w:trHeight w:val="150"/>
        </w:trPr>
        <w:tc>
          <w:tcPr>
            <w:tcW w:w="51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1,058</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224</w:t>
            </w:r>
          </w:p>
        </w:tc>
      </w:tr>
      <w:tr>
        <w:trPr>
          <w:trHeight w:val="20"/>
        </w:trPr>
        <w:tc>
          <w:tcPr>
            <w:tcW w:w="5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The following items contributed to (increased) decreased net cash provided by (used in) financing activities: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1"/>
                <w:szCs w:val="11"/>
                <w:b w:val="1"/>
                <w:bCs w:val="1"/>
                <w:color w:val="auto"/>
              </w:rPr>
              <w:t>2025 compared to 2024</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2024 compared to 2023</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54"/>
        </w:trPr>
        <w:tc>
          <w:tcPr>
            <w:tcW w:w="5120" w:type="dxa"/>
            <w:vAlign w:val="bottom"/>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5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changes in commercial paper outstanding</w:t>
            </w: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537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436</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changes in proceeds from issuance of Common Stock</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changes in long-term debt and term loans outstanding, excluding commercial paper</w:t>
            </w: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725</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changes in debt and equity issuance costs</w:t>
            </w: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11</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changes in short-term borrowings</w:t>
            </w: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6</w:t>
            </w: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Redemption of Series A Preferred Stock</w:t>
            </w:r>
          </w:p>
        </w:tc>
        <w:tc>
          <w:tcPr>
            <w:tcW w:w="4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Increased payment of Common Stock dividends</w:t>
            </w: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Decreased payment of preferred stock dividends</w:t>
            </w:r>
          </w:p>
        </w:tc>
        <w:tc>
          <w:tcPr>
            <w:tcW w:w="4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 in notes payable from affiliated companies</w:t>
            </w:r>
          </w:p>
        </w:tc>
        <w:tc>
          <w:tcPr>
            <w:tcW w:w="4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291</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642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dividend to parent</w:t>
            </w:r>
          </w:p>
        </w:tc>
        <w:tc>
          <w:tcPr>
            <w:tcW w:w="4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54</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contribution from parent</w:t>
            </w:r>
          </w:p>
        </w:tc>
        <w:tc>
          <w:tcPr>
            <w:tcW w:w="4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r>
      <w:tr>
        <w:trPr>
          <w:trHeight w:val="15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75"/>
        </w:trPr>
        <w:tc>
          <w:tcPr>
            <w:tcW w:w="5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629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1,020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Sources and Uses of Cash</w:t>
      </w:r>
    </w:p>
    <w:p>
      <w:pPr>
        <w:spacing w:after="0" w:line="200"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Material Current and Long-term Cash Requirements</w:t>
      </w:r>
      <w:r>
        <w:rPr>
          <w:rFonts w:ascii="Times New Roman" w:cs="Times New Roman" w:eastAsia="Times New Roman" w:hAnsi="Times New Roman"/>
          <w:sz w:val="14"/>
          <w:szCs w:val="14"/>
          <w:color w:val="auto"/>
        </w:rPr>
        <w:t>. The liquidity and capital requirements of the Registrants are affected primarily by results of operations, capital expenditures, storm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restoration costs, debt service requirements, tax payments, working capital needs and various regulatory actions. Future capital expenditures are expected to primarily relate to investments in infrastructure. These capital expenditures are anticipated to enhance the safety, reliability and resiliency of our systems and deliver consistent value for stakeholders across the Registrants’ jurisdictions. In addition to dividend payments on CenterPoint Energy’s Common Stock and interest payments on debt, the Registrants’ principal anticipated cash requirements for 2026 include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7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capital expenditures</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6,695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4,031</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Securitization Bonds</w:t>
            </w:r>
          </w:p>
        </w:tc>
        <w:tc>
          <w:tcPr>
            <w:tcW w:w="4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w:t>
            </w:r>
          </w:p>
        </w:tc>
        <w:tc>
          <w:tcPr>
            <w:tcW w:w="18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debt instruments, excluding Securitization Bonds</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2,377</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800</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5"/>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contributions to pension plans and other postretirement plans</w:t>
            </w:r>
          </w:p>
        </w:tc>
        <w:tc>
          <w:tcPr>
            <w:tcW w:w="4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86</w:t>
            </w:r>
          </w:p>
        </w:tc>
        <w:tc>
          <w:tcPr>
            <w:tcW w:w="18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bl>
    <w:p>
      <w:pPr>
        <w:spacing w:after="0" w:line="244" w:lineRule="exact"/>
        <w:rPr>
          <w:sz w:val="20"/>
          <w:szCs w:val="20"/>
          <w:color w:val="auto"/>
        </w:rPr>
      </w:pPr>
    </w:p>
    <w:p>
      <w:pPr>
        <w:ind w:firstLine="255"/>
        <w:spacing w:after="0" w:line="241" w:lineRule="auto"/>
        <w:rPr>
          <w:sz w:val="20"/>
          <w:szCs w:val="20"/>
          <w:color w:val="auto"/>
        </w:rPr>
      </w:pPr>
      <w:r>
        <w:rPr>
          <w:rFonts w:ascii="Times New Roman" w:cs="Times New Roman" w:eastAsia="Times New Roman" w:hAnsi="Times New Roman"/>
          <w:sz w:val="14"/>
          <w:szCs w:val="14"/>
          <w:color w:val="auto"/>
        </w:rPr>
        <w:t>The Registrants expect that anticipated cash needs for 2026 will be met with available cash flows from operations, proceeds from the sale of our Ohio natural gas LDC business, as well as cash flows from financing (such as issuances of debt securities and equity securities upon physical settlement of outstanding forward sale agreements and borrowings under credit facilities, commercial paper issuances or other sources). The issuances of securities in the capital markets and borrowings under additional credit facilities and term loans may not, however, be available on acceptable terms. The Registrants may, from time to time, redeem, repurchase or otherwise acquire their outstanding debt securities through open market purchases, tender offers or pursuant to the terms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80" w:name="page81"/>
    <w:bookmarkEnd w:id="80"/>
    <w:p>
      <w:pPr>
        <w:ind w:right="60" w:firstLine="255"/>
        <w:spacing w:after="0" w:line="271" w:lineRule="auto"/>
        <w:rPr>
          <w:sz w:val="20"/>
          <w:szCs w:val="20"/>
          <w:color w:val="auto"/>
        </w:rPr>
      </w:pPr>
      <w:r>
        <w:rPr>
          <w:rFonts w:ascii="Times New Roman" w:cs="Times New Roman" w:eastAsia="Times New Roman" w:hAnsi="Times New Roman"/>
          <w:sz w:val="14"/>
          <w:szCs w:val="14"/>
          <w:color w:val="auto"/>
        </w:rPr>
        <w:t>The following table sets forth the Registrants’ estimates of the Registrants’ capital expenditures currently planned for projects for the periods presented. See Note 16 to the consolidated financial statements for CenterPoint Energy’s actual capital expenditures by reportable segment for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2030</w:t>
            </w:r>
          </w:p>
        </w:tc>
      </w:tr>
      <w:tr>
        <w:trPr>
          <w:trHeight w:val="164"/>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4,358</w:t>
            </w:r>
          </w:p>
        </w:tc>
      </w:tr>
      <w:tr>
        <w:trPr>
          <w:trHeight w:val="168"/>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r>
      <w:tr>
        <w:trPr>
          <w:trHeight w:val="1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3"/>
        </w:trPr>
        <w:tc>
          <w:tcPr>
            <w:tcW w:w="4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6,695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7,078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5,721</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6,402</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Houston Electric </w:t>
            </w:r>
            <w:r>
              <w:rPr>
                <w:rFonts w:ascii="Times New Roman" w:cs="Times New Roman" w:eastAsia="Times New Roman" w:hAnsi="Times New Roman"/>
                <w:sz w:val="13"/>
                <w:szCs w:val="13"/>
                <w:color w:val="auto"/>
              </w:rPr>
              <w:t>(1)</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4,326</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3,440</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43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 xml:space="preserve">CERC </w:t>
            </w:r>
            <w:r>
              <w:rPr>
                <w:rFonts w:ascii="Times New Roman" w:cs="Times New Roman" w:eastAsia="Times New Roman" w:hAnsi="Times New Roman"/>
                <w:sz w:val="13"/>
                <w:szCs w:val="13"/>
                <w:color w:val="auto"/>
              </w:rPr>
              <w:t>(1)</w:t>
            </w:r>
          </w:p>
        </w:tc>
        <w:tc>
          <w:tcPr>
            <w:tcW w:w="880" w:type="dxa"/>
            <w:vAlign w:val="bottom"/>
            <w:tcBorders>
              <w:bottom w:val="single" w:sz="8" w:color="auto"/>
            </w:tcBorders>
          </w:tcPr>
          <w:p>
            <w:pPr>
              <w:jc w:val="right"/>
              <w:ind w:right="7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2,198</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2,047</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1,994</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1,826</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1,899</w:t>
            </w:r>
          </w:p>
        </w:tc>
      </w:tr>
      <w:tr>
        <w:trPr>
          <w:trHeight w:val="20"/>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Houston Electric and CERC each consist of a single reportable segment.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Registrants’ material current and long-term cash requirements as of December 31,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2027</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2028</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2030</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Securitization Bonds (1)</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long-term debt (1) (2)</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21,953</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payments — Securitization Bonds (3)</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payments — other long-term debt (3)</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15,036</w:t>
            </w:r>
          </w:p>
        </w:tc>
        <w:tc>
          <w:tcPr>
            <w:tcW w:w="0" w:type="dxa"/>
            <w:vAlign w:val="bottom"/>
          </w:tcPr>
          <w:p>
            <w:pPr>
              <w:spacing w:after="0"/>
              <w:rPr>
                <w:sz w:val="1"/>
                <w:szCs w:val="1"/>
                <w:color w:val="auto"/>
              </w:rPr>
            </w:pPr>
          </w:p>
        </w:tc>
      </w:tr>
      <w:tr>
        <w:trPr>
          <w:trHeight w:val="153"/>
        </w:trPr>
        <w:tc>
          <w:tcPr>
            <w:tcW w:w="3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Commodity and other commitments (4)</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978</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946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2,919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6,935</w:t>
            </w:r>
          </w:p>
        </w:tc>
        <w:tc>
          <w:tcPr>
            <w:tcW w:w="0" w:type="dxa"/>
            <w:vAlign w:val="bottom"/>
          </w:tcPr>
          <w:p>
            <w:pPr>
              <w:spacing w:after="0"/>
              <w:rPr>
                <w:sz w:val="1"/>
                <w:szCs w:val="1"/>
                <w:color w:val="auto"/>
              </w:rPr>
            </w:pPr>
          </w:p>
        </w:tc>
      </w:tr>
      <w:tr>
        <w:trPr>
          <w:trHeight w:val="16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cash requirements</w:t>
            </w:r>
          </w:p>
        </w:tc>
        <w:tc>
          <w:tcPr>
            <w:tcW w:w="64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4,457</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5,705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2,318</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5,389</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25,260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45,426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Securitization Bonds (1)</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long-term debt (1)</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9,279</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payments — Securitization Bonds (3)</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payments — other long-term debt (3)</w:t>
            </w:r>
          </w:p>
        </w:tc>
        <w:tc>
          <w:tcPr>
            <w:tcW w:w="6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3,466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7,641</w:t>
            </w:r>
          </w:p>
        </w:tc>
        <w:tc>
          <w:tcPr>
            <w:tcW w:w="0" w:type="dxa"/>
            <w:vAlign w:val="bottom"/>
          </w:tcPr>
          <w:p>
            <w:pPr>
              <w:spacing w:after="0"/>
              <w:rPr>
                <w:sz w:val="1"/>
                <w:szCs w:val="1"/>
                <w:color w:val="auto"/>
              </w:rPr>
            </w:pPr>
          </w:p>
        </w:tc>
      </w:tr>
      <w:tr>
        <w:trPr>
          <w:trHeight w:val="129"/>
        </w:trPr>
        <w:tc>
          <w:tcPr>
            <w:tcW w:w="3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cash requirements</w:t>
            </w:r>
          </w:p>
        </w:tc>
        <w:tc>
          <w:tcPr>
            <w:tcW w:w="6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1,250</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723</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919</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3,198</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11,484</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17,966</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9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Long-term debt (1)</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4,740</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payments — long-term debt (3)</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227</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0" w:type="dxa"/>
            <w:vAlign w:val="bottom"/>
          </w:tcPr>
          <w:p>
            <w:pPr>
              <w:spacing w:after="0"/>
              <w:rPr>
                <w:sz w:val="1"/>
                <w:szCs w:val="1"/>
                <w:color w:val="auto"/>
              </w:rPr>
            </w:pPr>
          </w:p>
        </w:tc>
      </w:tr>
      <w:tr>
        <w:trPr>
          <w:trHeight w:val="15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Commodity and other commitments (4)</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684</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542</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1,322</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4,137</w:t>
            </w:r>
          </w:p>
        </w:tc>
        <w:tc>
          <w:tcPr>
            <w:tcW w:w="0" w:type="dxa"/>
            <w:vAlign w:val="bottom"/>
          </w:tcPr>
          <w:p>
            <w:pPr>
              <w:spacing w:after="0"/>
              <w:rPr>
                <w:sz w:val="1"/>
                <w:szCs w:val="1"/>
                <w:color w:val="auto"/>
              </w:rPr>
            </w:pPr>
          </w:p>
        </w:tc>
      </w:tr>
      <w:tr>
        <w:trPr>
          <w:trHeight w:val="156"/>
        </w:trPr>
        <w:tc>
          <w:tcPr>
            <w:tcW w:w="3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cash requirements</w:t>
            </w:r>
          </w:p>
        </w:tc>
        <w:tc>
          <w:tcPr>
            <w:tcW w:w="6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971</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837</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2,512</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1,113</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4,466</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10,587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right="280" w:hanging="260"/>
        <w:spacing w:after="0" w:line="263"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reflect aggregate principal amounts outstanding and do not include unamortized discounts, premiums or issuance costs. See Note 12 to the consolidated financial statements for additional information.</w:t>
      </w:r>
    </w:p>
    <w:p>
      <w:pPr>
        <w:ind w:left="520" w:right="20" w:hanging="260"/>
        <w:spacing w:after="0" w:line="253"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ZENS obligations are included in the 2029 column at their contingent principal amount of less than $0.1 million as of December 31, 2025. These obligations are exchangeable for cash at any time at the option of the holders for 95% of the current value of the reference shares attributable to each ZENS ($507 million as of December 31, 2025), as discussed in Note 10 to the consolidated financial statements.</w:t>
      </w:r>
    </w:p>
    <w:p>
      <w:pPr>
        <w:ind w:left="520" w:right="180" w:hanging="260"/>
        <w:spacing w:after="0" w:line="253"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calculated estimated interest payments for long-term debt as follows: for fixed-rate debt and term debt, the Registrants calculated interest based on the applicable rates and payment dates; for variable-rate debt and/or non-term debt, the Registrants used interest rates in place as of December 31, 2025. The Registrants typically expect to settle such interest payments with cash flows from operations and short-term borrowings.</w:t>
      </w:r>
    </w:p>
    <w:p>
      <w:pPr>
        <w:ind w:left="500" w:hanging="240"/>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commodity and other commitments, see Note 14(a) to the consolidated financial statements.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above does not include the following:</w:t>
      </w:r>
    </w:p>
    <w:p>
      <w:pPr>
        <w:spacing w:after="0" w:line="23"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future payments for expected future AROs primarily estimated to be incurred after 2030. See Note 3(c) to the consolidated financial statements for further information.</w:t>
      </w:r>
    </w:p>
    <w:p>
      <w:pPr>
        <w:spacing w:after="0" w:line="200" w:lineRule="exact"/>
        <w:rPr>
          <w:rFonts w:ascii="Times New Roman" w:cs="Times New Roman" w:eastAsia="Times New Roman" w:hAnsi="Times New Roman"/>
          <w:sz w:val="14"/>
          <w:szCs w:val="14"/>
          <w:color w:val="auto"/>
        </w:rPr>
      </w:pPr>
    </w:p>
    <w:p>
      <w:pPr>
        <w:spacing w:after="0" w:line="229"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1" w:name="page82"/>
    <w:bookmarkEnd w:id="81"/>
    <w:p>
      <w:pPr>
        <w:ind w:left="520" w:hanging="260"/>
        <w:spacing w:after="0" w:line="263"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contributions to pension plans and other postretirement plans in 2026 and expected benefit payments to be paid by the pension and postretirement benefit plans. See Note 8(g) to the consolidated financial statements for further information.</w:t>
      </w: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leases. See Note 19 to the consolidated financial statements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Other than Houston Electric’s general mortgage bonds issued as collateral for tax-exempt long-term debt of CenterPoint Energy as discussed in Note 12 and guarantees as discussed in Note 14(b) to the consolidated financial statements and short-term leases, the Registrants have no off-balance sheet arrangements.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TEEEF (CenterPoint Energy and 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TEEEF,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 (CenterPoint Energy and 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Hurricane Beryl,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 (CenterPoint Energy and 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May 2024 Storm Events,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February 2021 Winter Storm Event (CenterPoint Energy, Houston Electric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the February 2021 Winter Storm Event,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Securitization of Generation Retirements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further information about the issuance of SIGECO Securitization Bonds,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CPCN (CenterPoint Energy)</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BTAs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Indiana Electric pursued PTCs for solar projects following the passage of the IRA. On February 7, 2023, Indiana Electric filed a CPCN with the IURC to approve an amended BTA to purchase the 191 MW Posey Solar project. Indiana Electric requested that project costs, net of PTCs, be recovered in rate base rather than a levelized rate, through base rates or the CECA mechanism, depending on which provides more timely recovery. On September 6, 2023, the IURC issued an order approving the CPCN. On March 7, 2025, SIGECO completed the acquisition of Posey Solar from Arevon for a purchase price of approximately $357 million. The Posey Solar project was placed in service in the second quarter of 2025 and is currently being recovered through base rates. In the applicable</w:t>
      </w:r>
    </w:p>
    <w:p>
      <w:pPr>
        <w:spacing w:after="0" w:line="3"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rate case, the IURC approved Indiana Electric’s request to convey PTCs to customers through the new tax adjustment rider. For further information, see Note 4 to the consolidated financial statements.</w:t>
      </w:r>
    </w:p>
    <w:p>
      <w:pPr>
        <w:spacing w:after="0" w:line="145"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On January 10, 2023, Indiana Electric filed a CPCN with the IURC to acquire a wind energy generating facility located in the central region of MISO through a BTA, and on June 6, 2023, the IURC issued an order approving the CPCN, thereby authorizing Indiana Electric to purchase the wind generating facility. In August 2025, due to changing project considerations and concerns about customer affordability, Indiana Electric exited negotiations relating to this wind energy generating facility. On December 4, 2025, Indiana Electric filed a Notice of Termination in this proceeding.</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PPAs</w:t>
      </w:r>
    </w:p>
    <w:p>
      <w:pPr>
        <w:spacing w:after="0" w:line="20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Indiana Electric sought approval in February 2021 for a 100 MW solar PPA with Clenera LLC in Warrick County, Indiana. The request accounted for increased cost of debt related to this PPA, which would provide equivalent equity return to offset imputed debt during the 25-year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renegotiated the terms of the agreement to increase the PPA price and Indiana Electric subsequently filed a request with the IURC to amend the previously approved PPA with certain modifications. On May 30, 2023, the IURC approved the Warrick County solar amended PPA; however, due to MISO interconnection study delays and estimated interconnection cost increases, on April 24, 2025, Indiana Electric provided notice that it was exercising its right to terminate the PPA, which terminated all further obligations of Indiana Electric with respect to the project.</w:t>
      </w:r>
    </w:p>
    <w:p>
      <w:pPr>
        <w:spacing w:after="0" w:line="16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 xml:space="preserve">On August 25, 2021, Indiana Electric filed with the IURC seeking approval to purchase 185 MW of solar power, under a 15-year PPA, from </w:t>
      </w:r>
      <w:r>
        <w:rPr>
          <w:rFonts w:ascii="Times New Roman" w:cs="Times New Roman" w:eastAsia="Times New Roman" w:hAnsi="Times New Roman"/>
          <w:sz w:val="14"/>
          <w:szCs w:val="14"/>
          <w:color w:val="auto"/>
          <w:highlight w:val="white"/>
        </w:rPr>
        <w:t>Oriden,</w:t>
      </w:r>
      <w:r>
        <w:rPr>
          <w:rFonts w:ascii="Times New Roman" w:cs="Times New Roman" w:eastAsia="Times New Roman" w:hAnsi="Times New Roman"/>
          <w:sz w:val="14"/>
          <w:szCs w:val="14"/>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632" w:right="419" w:bottom="1440" w:gutter="0" w:footer="0" w:header="0"/>
        </w:sectPr>
      </w:pPr>
    </w:p>
    <w:bookmarkStart w:id="83" w:name="page84"/>
    <w:bookmarkEnd w:id="83"/>
    <w:p>
      <w:pPr>
        <w:ind w:right="20"/>
        <w:spacing w:after="0" w:line="259" w:lineRule="auto"/>
        <w:rPr>
          <w:sz w:val="20"/>
          <w:szCs w:val="20"/>
          <w:color w:val="auto"/>
        </w:rPr>
      </w:pPr>
      <w:r>
        <w:rPr>
          <w:rFonts w:ascii="Times New Roman" w:cs="Times New Roman" w:eastAsia="Times New Roman" w:hAnsi="Times New Roman"/>
          <w:sz w:val="14"/>
          <w:szCs w:val="14"/>
          <w:color w:val="auto"/>
        </w:rPr>
        <w:t>interconnection study were completed, Origis advised Indiana Electric that the costs to construct the solar project in Knox County, Indiana had increased largely due to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has been delayed from 2024 to 2026. On January 17, 2023, Indiana Electric filed a request with the IURC to amend the previously approved PPA with Oriden with certain modifications. On May 30, 2023, the IURC approved the Vermillion County solar amended PPA; however, due to MISO interconnection study delays, the developer disclosed the project in-service date would be delayed to 2028. On May 9, 2025, Indiana Electric and Oriden terminated the PPA.</w:t>
      </w:r>
    </w:p>
    <w:p>
      <w:pPr>
        <w:spacing w:after="0" w:line="167"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On May 1, 2024, Indiana Electric filed with the IURC seeking approval to purchase 147 MW of wind power under a 25-year PPA with an affiliate of NextEra Energy, Inc., which is developing a wind project in Knox County, Illinois. On November 6, 2024, the IURC approved the Knox County wind PPA, which provided for the recovery of the purchase power costs through the fuel adjustment clause proceedings over the term of the PPA. The facility is targeted to be in operation in late 2026.</w:t>
      </w:r>
    </w:p>
    <w:p>
      <w:pPr>
        <w:spacing w:after="0" w:line="15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On April 14, 2025, Indiana Electric filed with the IURC seeking approval to purchase 170 MW of wind power under a 25-year PPA with an affiliate of NextEra Energy, Inc., which is developing a wind project in Tama County, Iowa. On June 3, 2025, an amendment to the PPA was filed with the IURC requesting an extension of the PPA’s term from 25 to 27 years. Indiana Electric received a final order from the IURC on November 5, 2025. The facility became operational on December 9, 2025. The power purchase costs will be recovered through the fuel adjustment clause proceedings over the term of the PPA.</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2025 IRP (CenterPoint Energy)</w:t>
      </w:r>
    </w:p>
    <w:p>
      <w:pPr>
        <w:spacing w:after="0" w:line="20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On December 5, 2025, Indiana Electric submitted its 2025 IRP with the IURC pursuant to applicable Indiana law requiring electric utilities to develop and submit to the IURC every three years (unless extended) an IRP that uses economic modeling to consider the costs and risks associated with available generation resource options to provide reliable, cost effective electric service for the next 20-year period. Indiana Electric’s 2025 IRP was developed following a series of public meetings and stakeholder discussions occurring in 2025 and identified both a preferred portfolio, which assumes the status quo for Indiana Electric’s service territory, and an alternative preferred portfolio, which includes a potential large load addition. Due to the phasing out of IRA renewable energy tax incentives pursuant to the OBBBA, declining accreditation from MISO for renewable energy and increased price pressure on resources due to, among other things, tariffs and ongoing supply chain issues, the 2025 IRP extends the timing for Indiana Electric’s generation transition plan. Accordingly, both the preferred portfolio and the alternative portfolio call for using the interconnection at F.B. Culley unit 2 for a 90 MW battery storage unit by 2028 and the conversion of the A.B. Brown units 5 and 6 gas turbines to a combined cycle gas turbine unit in the near- to mid-term, depending on load conditions. Decisions around F.B. Culley 3 will be reevaluated in the next IRP in 2028. The 2025 IRP includes the cancellation of nearly $1 billion in non-economical renewable projects. For more information regarding the risks associated with Indiana Electric’s execution of its generation transition plan and its IRP, see “Risk Factors - Risk Factors Affecting Operations - Indiana Electric’s execution of its generation transition plan...”</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F.B. Culley Unit 2 (CenterPoint Energy)</w:t>
      </w:r>
    </w:p>
    <w:p>
      <w:pPr>
        <w:spacing w:after="0" w:line="20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While Indiana Electric’s 2025 IRP (similar to previous IRPs) preferred portfolios included the retirement of F.B. Culley Unit 2, a coal-fired generation unit, by the end of 2025, the U.S. Department of Energy issued an emergency 202(c) order in December 2025 directing Indiana Electric to continue operating the unit through March 23, 2026. Indiana Electric has filed a complaint with the FERC to request creation of a cost recovery/cost allocation mechanism. If created, a separate filing will be made at a later date with the FERC to seek recovery of all costs incurred to comply with the U.S. Department of Energy’s emergency 202(c) order. Indiana Electric has also filed an application with the IURC in Cause No. 46350 to recover any compliance costs associated with the emergency 202(c) order that are not recovered through the FERC proceedings.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Natural Gas Combustion Turbines (CenterPoint Energy)</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On June 17, 2021, Indiana Electric filed a CPCN with the IURC seeking approval to construct two natural gas combustion turbines to replace portions of its existing coal-fired generation fleet. On June 28, 2022, the IURC approved the CPCN. The $287 million turbine facility was constructed at the previous site of the A.B. Brown power plant in Posey County, Indiana. Indiana Electric received approval for depreciation expense and post in-service carrying costs to be deferred in a regulatory asset until the date Indiana Electric’s base rates include a return on and recovery of depreciation expense on the facility. A new approximately 23.5-mile pipeline was constructed and is operated by Texas Gas Transmission, LLC to supply natural gas to the turbine facility. FERC granted a certificate to construct the pipeline on October 20, 2022. On January 7, 2025, the United States Court of Appeals for the D.C. Circuit affirmed FERC’s order granting the certificate. Indiana Electric granted its contractor a full notice to proceed to construct the turbines on December 9, 2022. In the second quarter of 2025, 230 MW of the facility was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4" w:name="page85"/>
    <w:bookmarkEnd w:id="84"/>
    <w:p>
      <w:pPr>
        <w:spacing w:after="0" w:line="270" w:lineRule="auto"/>
        <w:rPr>
          <w:sz w:val="20"/>
          <w:szCs w:val="20"/>
          <w:color w:val="auto"/>
        </w:rPr>
      </w:pPr>
      <w:r>
        <w:rPr>
          <w:rFonts w:ascii="Times New Roman" w:cs="Times New Roman" w:eastAsia="Times New Roman" w:hAnsi="Times New Roman"/>
          <w:sz w:val="14"/>
          <w:szCs w:val="14"/>
          <w:color w:val="auto"/>
        </w:rPr>
        <w:t>placed in service, and, due to a transformer manufacturing issue, the remaining 230 MW of the facility was placed in service in the third quarter of 2025. Indiana Electric received approval from the IURC on February 3, 2025, to recover for each combustion turbine by adjusting base rates as they are placed in service. The first turbine and second turbine are currently being recovered in base rates that were updated on June 17, 2025 and October 1, 2025, respectively.</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Stewart-West Bay Transmission Project (CenterPoint Energy and Houston Electric)</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On April 30, 2025, Houston Electric filed a CCN application with the PUCT for approval to replace a portion of a 138 kV double circuit transmission line in Galveston County, Texas that connects</w:t>
      </w:r>
    </w:p>
    <w:p>
      <w:pPr>
        <w:spacing w:after="0" w:line="3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color w:val="auto"/>
        </w:rPr>
        <w:t>Houston Electric’s Stewart and West Bay substations. On June 27, 2025, an order was issued dismissing all opposing parties from the proceeding. On August 11, 2025, a notice of approval of Houston Electric’s application was issued. The project is estimated to cost approximately $105 million, but the actual capital cost of the project will depend on construction costs and other factors. Completion of construction and energization of the line is anticipated to occur in the third quarter of 2027.</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Space City Solar Transmission Interconnection Project (CenterPoint Energy and Houston Electric)</w:t>
      </w:r>
    </w:p>
    <w:p>
      <w:pPr>
        <w:spacing w:after="0" w:line="202" w:lineRule="exact"/>
        <w:rPr>
          <w:sz w:val="20"/>
          <w:szCs w:val="20"/>
          <w:color w:val="auto"/>
        </w:rPr>
      </w:pPr>
    </w:p>
    <w:p>
      <w:pPr>
        <w:jc w:val="both"/>
        <w:ind w:right="220" w:firstLine="255"/>
        <w:spacing w:after="0" w:line="260" w:lineRule="auto"/>
        <w:rPr>
          <w:sz w:val="20"/>
          <w:szCs w:val="20"/>
          <w:color w:val="auto"/>
        </w:rPr>
      </w:pPr>
      <w:r>
        <w:rPr>
          <w:rFonts w:ascii="Times New Roman" w:cs="Times New Roman" w:eastAsia="Times New Roman" w:hAnsi="Times New Roman"/>
          <w:sz w:val="14"/>
          <w:szCs w:val="14"/>
          <w:color w:val="auto"/>
        </w:rPr>
        <w:t>On December 17, 2020, Houston Electric filed a CCN with the PUCT for approval to build a 345 kV transmission line in Wharton County, Texas connecting the Hillje substation on Houston Electric’s transmission system to the planned 610 MW Space City Solar Generation facility being developed by third-party developer, EDF Renewables. In November 2021, the PUCT approved a route that was estimated to cost $25 million and issued a final order on January 12, 2022. There have been project delays due to supply chain constraints in the developer acquiring solar panels.</w:t>
      </w:r>
    </w:p>
    <w:p>
      <w:pPr>
        <w:ind w:right="60"/>
        <w:spacing w:after="0" w:line="266" w:lineRule="auto"/>
        <w:rPr>
          <w:sz w:val="20"/>
          <w:szCs w:val="20"/>
          <w:color w:val="auto"/>
        </w:rPr>
      </w:pPr>
      <w:r>
        <w:rPr>
          <w:rFonts w:ascii="Times New Roman" w:cs="Times New Roman" w:eastAsia="Times New Roman" w:hAnsi="Times New Roman"/>
          <w:sz w:val="14"/>
          <w:szCs w:val="14"/>
          <w:color w:val="auto"/>
        </w:rPr>
        <w:t>Houston Electric substantially completed construction in the fall of 2023, and the transmission line is expected to be energized shortly after the generation facility is complete, which is anticipated to occur in the first quarter of 2027.</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Kilgore Transmission Project (CenterPoint Energy and Houston Electric)</w:t>
      </w:r>
    </w:p>
    <w:p>
      <w:pPr>
        <w:spacing w:after="0" w:line="202" w:lineRule="exact"/>
        <w:rPr>
          <w:sz w:val="20"/>
          <w:szCs w:val="20"/>
          <w:color w:val="auto"/>
        </w:rPr>
      </w:pPr>
    </w:p>
    <w:p>
      <w:pPr>
        <w:ind w:firstLine="255"/>
        <w:spacing w:after="0" w:line="263" w:lineRule="auto"/>
        <w:rPr>
          <w:sz w:val="20"/>
          <w:szCs w:val="20"/>
          <w:color w:val="auto"/>
        </w:rPr>
      </w:pPr>
      <w:r>
        <w:rPr>
          <w:rFonts w:ascii="Times New Roman" w:cs="Times New Roman" w:eastAsia="Times New Roman" w:hAnsi="Times New Roman"/>
          <w:sz w:val="14"/>
          <w:szCs w:val="14"/>
          <w:color w:val="auto"/>
        </w:rPr>
        <w:t>On August 30, 2023, Houston Electric filed a CCN application with the PUCT for approval to build a 138 kV double circuit transmission line in Chambers County, Texas that will loop the existing 138 kV Chevron to Langston circuit number 86 on Houston Electric’s transmission system to Houston Electric’s planned Kilgore substation. On March 7, 2024, the PUCT issued a final order approving a route that was estimated to cost $60 million, including substation costs. The actual capital costs of the project, including the transmission line and the planned Kilgore substation, will depend on actual land acquisition costs, construction costs, and other factors. Completion of construction and energization of the line and substation is anticipated to occur in the fourth quarter of 2026.</w:t>
      </w:r>
    </w:p>
    <w:p>
      <w:pPr>
        <w:spacing w:after="0" w:line="3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Mill Creek Transmission Project (CenterPoint Energy and Houston Electric)</w:t>
      </w:r>
    </w:p>
    <w:p>
      <w:pPr>
        <w:spacing w:after="0" w:line="20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On November 17, 2023, Houston Electric filed a CCN application with the PUCT for approval to build a 138 kV double circuit transmission line in Harris and Montgomery Counties, Texas that will connect Houston Electric’s transmission system to Houston Electric’s planned Mill Creek substation. On November 21, 2024, the PUCT issued a final order approving a route estimated to cost $68 million. The actual capital costs of the project will depend on actual land acquisition costs, construction costs, and other factors. Completion of construction and energization of the line and substation is anticipated to occur in the second quarter of 2027.</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Legislation (CenterPoint Energy)</w:t>
      </w:r>
    </w:p>
    <w:p>
      <w:pPr>
        <w:spacing w:after="0" w:line="202"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Indiana Electric is evaluating legislation filed in Indiana’s 124th General Assembly, including House Bill 1002, a multi-faceted bill aimed at improving the affordability of electric rates. House Bill 1002 would do the following:</w:t>
      </w:r>
    </w:p>
    <w:p>
      <w:pPr>
        <w:spacing w:after="0" w:line="145"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2026, require an electric utility to file a multi-year rate plan according to a prescribed schedule;</w:t>
      </w:r>
    </w:p>
    <w:p>
      <w:pPr>
        <w:spacing w:after="0" w:line="23" w:lineRule="exact"/>
        <w:rPr>
          <w:rFonts w:ascii="Times New Roman" w:cs="Times New Roman" w:eastAsia="Times New Roman" w:hAnsi="Times New Roman"/>
          <w:sz w:val="14"/>
          <w:szCs w:val="14"/>
          <w:color w:val="auto"/>
        </w:rPr>
      </w:pPr>
    </w:p>
    <w:p>
      <w:pPr>
        <w:ind w:left="520" w:right="180" w:hanging="260"/>
        <w:spacing w:after="0" w:line="253"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apply a customer affordability performance metric and a service restoration performance metric to each year of the multi-year rate plan and use such metric to provide financial rewards or penalties based on the electricity supplier’s measured performance of the metric;</w:t>
      </w:r>
    </w:p>
    <w:p>
      <w:pPr>
        <w:ind w:left="520" w:right="140" w:hanging="260"/>
        <w:spacing w:after="0" w:line="253"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an electric utility to offer a low income customer assistance program by July 1, 2026 to be funded by at least 0.2% of jurisdictional revenues for residential customers and allow the utility to seek recovery of eligible program costs;</w:t>
      </w: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an electric utility from terminating service to any customer on a day forecasted by the National Weather Service to have a heat index of at least 95 degrees Fahrenheit;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IURC’s authority related to use of emergency powers;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85" w:name="page86"/>
    <w:bookmarkEnd w:id="85"/>
    <w:p>
      <w:pPr>
        <w:ind w:left="520" w:hanging="260"/>
        <w:spacing w:after="0"/>
        <w:tabs>
          <w:tab w:leader="none" w:pos="520" w:val="left"/>
        </w:tabs>
        <w:numPr>
          <w:ilvl w:val="0"/>
          <w:numId w:val="39"/>
        </w:numPr>
        <w:rPr>
          <w:rFonts w:ascii="Arial" w:cs="Arial" w:eastAsia="Arial" w:hAnsi="Arial"/>
          <w:sz w:val="14"/>
          <w:szCs w:val="14"/>
          <w:color w:val="auto"/>
        </w:rPr>
      </w:pPr>
      <w:r>
        <w:rPr>
          <w:rFonts w:ascii="Times New Roman" w:cs="Times New Roman" w:eastAsia="Times New Roman" w:hAnsi="Times New Roman"/>
          <w:sz w:val="14"/>
          <w:szCs w:val="14"/>
          <w:color w:val="auto"/>
        </w:rPr>
        <w:t>apply a levelized billing plan to residential customers who are eligible and have applied for the Low Income Housing Energy Assistance Program; and</w:t>
      </w:r>
    </w:p>
    <w:p>
      <w:pPr>
        <w:spacing w:after="0" w:line="24"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an electric utility to report certain residential customer data to the Office of the Utility Consumer Counselor on a quarterly basis.</w:t>
      </w:r>
    </w:p>
    <w:p>
      <w:pPr>
        <w:spacing w:after="0" w:line="184" w:lineRule="exact"/>
        <w:rPr>
          <w:sz w:val="20"/>
          <w:szCs w:val="20"/>
          <w:color w:val="auto"/>
        </w:rPr>
      </w:pPr>
    </w:p>
    <w:p>
      <w:pPr>
        <w:ind w:right="780" w:firstLine="255"/>
        <w:spacing w:after="0" w:line="287" w:lineRule="auto"/>
        <w:rPr>
          <w:sz w:val="20"/>
          <w:szCs w:val="20"/>
          <w:color w:val="auto"/>
        </w:rPr>
      </w:pPr>
      <w:r>
        <w:rPr>
          <w:rFonts w:ascii="Times New Roman" w:cs="Times New Roman" w:eastAsia="Times New Roman" w:hAnsi="Times New Roman"/>
          <w:sz w:val="14"/>
          <w:szCs w:val="14"/>
          <w:color w:val="auto"/>
        </w:rPr>
        <w:t>There are other bills moving through the 124th General Assembly, including legislation regarding surplus interconnection service, nuclear facility permits, and a bill on land use and developments that includes siting of battery energy storage systems.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Texas Legislation (CenterPoint Energy, Houston Electric and CERC)</w:t>
      </w:r>
    </w:p>
    <w:p>
      <w:pPr>
        <w:spacing w:after="0" w:line="20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Registrants are evaluating the effects of certain legislation passed in 2025 and associated PUCT rulemaking projects, including the following pieces of legislation that became law during the 89th Texas Legislature:</w:t>
      </w:r>
    </w:p>
    <w:p>
      <w:pPr>
        <w:spacing w:after="0" w:line="145" w:lineRule="exact"/>
        <w:rPr>
          <w:sz w:val="20"/>
          <w:szCs w:val="20"/>
          <w:color w:val="auto"/>
        </w:rPr>
      </w:pPr>
    </w:p>
    <w:p>
      <w:pPr>
        <w:ind w:left="520" w:right="60" w:hanging="260"/>
        <w:spacing w:after="0" w:line="263" w:lineRule="auto"/>
        <w:tabs>
          <w:tab w:leader="none" w:pos="516" w:val="left"/>
        </w:tabs>
        <w:numPr>
          <w:ilvl w:val="0"/>
          <w:numId w:val="40"/>
        </w:numPr>
        <w:rPr>
          <w:rFonts w:ascii="Arial" w:cs="Arial" w:eastAsia="Arial" w:hAnsi="Arial"/>
          <w:sz w:val="14"/>
          <w:szCs w:val="14"/>
          <w:color w:val="auto"/>
        </w:rPr>
      </w:pPr>
      <w:r>
        <w:rPr>
          <w:rFonts w:ascii="Times New Roman" w:cs="Times New Roman" w:eastAsia="Times New Roman" w:hAnsi="Times New Roman"/>
          <w:sz w:val="14"/>
          <w:szCs w:val="14"/>
          <w:color w:val="auto"/>
        </w:rPr>
        <w:t>House Bill 4384, effective June 20, 2025, allows LDCs to recover post in-service carrying costs (PISCC) in GRIP filings. This allows LDCs to defer for future recovery as a regulatory asset PISCC, depreciation expense and ad valorem taxes associated with unrecovered gross plant.</w:t>
      </w:r>
    </w:p>
    <w:p>
      <w:pPr>
        <w:ind w:left="52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231, effective June 20, 2025, provides that, on or after the effective date, TDUs may only enter into, renew or extend leases for TEEEF units with a maximum generation capacity 5 or fewer MW and that are rapidly deployable, and that they may enter into leases without prior PUCT preapproval (as required by the TEEEF Rule) in the case of an emergency or if the lease includes a provision allowing for the alteration of the lease based on applicable PUCT orders or rules.</w:t>
      </w:r>
    </w:p>
    <w:p>
      <w:pPr>
        <w:ind w:left="520" w:right="2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1963, effective September 1, 2025, allows ERCOT utilities to securitize system restoration costs using a third-party government agency, which may allow for the debt to be off balance sheet and an abbreviated proceeding timeline. This bill also lowered the system restoration costs threshold from $100 million to $50 million, provided the effectiveness tests are met.</w:t>
      </w:r>
    </w:p>
    <w:p>
      <w:pPr>
        <w:ind w:left="520" w:right="240" w:hanging="260"/>
        <w:spacing w:after="0" w:line="266"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482, effective September 1, 2025, results in increased penalties for assaulting a utility worker to a third-degree felony, equal to assaulting a first responder, and for harassing a utility worker to a Class A misdemeanor.</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Transmission and Distribution System Resiliency Plans (CenterPoint Energy and Houston Electric)</w:t>
      </w:r>
    </w:p>
    <w:p>
      <w:pPr>
        <w:spacing w:after="0" w:line="20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Following feedback from customers, external experts and other stakeholders, including elected officials and local agencies, Houston Electric filed a revised SRP with the PUCT on January 31, 2025 for review and approval. The filed SRP proposed to invest approximately $5.75 billion over a three-year period from 2026 to 2028 for transmission and distribution infrastructure, information technology and cybersecurity assets and event response capability. This plan proposed 39 resiliency-enhancing measures and a microgrid pilot program to be implemented over the three-year period. The SRP as filed had an estimated capital cost of approximately $5.54 billion and an estimated operations and maintenance expense of approximately $211 million. Approximately $2.17 billion of such cost was for transmission-related investments, and approximately $3.58 billion was for distribution-related investments. Intervenor testimony was filed on April 8, 2025, and PUCT staff testimony was filed on April 15, 2025. On June 12, 2025, Houston Electric announced that it had reached a settlement agreement with parties to its SRP, which provides for approximately $3.18 billion in distribution-related investments. The proposed transmission investments were removed from the SRP and Houston Electric intends to implement such investments, as appropriate, outside of the SRP process. The agreement also includes the deferral of more than $240 million of the approximate $3.18 billion in SRP costs until the second half of 2029, which is intended to help reduce the bill impact for customers by spreading costs over a four-year period instead of three years. Once approved, and while some cost recovery would be deferred into 2029, it is expected that all SRP work</w:t>
      </w:r>
    </w:p>
    <w:p>
      <w:pPr>
        <w:spacing w:after="0" w:line="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agreed upon in the settlement agreement will be completed in the proposed 2025 to 2028 timeframe. At its November 14, 2025 open meeting, the PUCT approved the SRP. The final order issued on November 19, 2025 includes twenty-seven resiliency measures totaling approximately $2.68 billion in capital investments and an estimated $185 million in operations and maintenance expense. The approved SRP also includes the deferral of $217 million of the approximate $2.87 billion in SRP costs until the second half of 2029.</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Rate Change Applications</w:t>
      </w:r>
    </w:p>
    <w:p>
      <w:pPr>
        <w:spacing w:after="0" w:line="202"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routinely involved in rate change applications before state regulatory authorities. Those applications include general rate cases, where the entire cost of service of the utility is assessed and reset. In addition, the Registrants are periodically involved in proceedings to adjust their capital tracking mechanisms (e.g., CSIA, DCRF, DRR, GRIP, TCOS, ECA, CECA and TDSIC), their decoupling mechanisms (e.g., decoupling and SRC), and their energy efficiency cost trackers (e.g., CIP, DSMA, EECRF, EEFC and EEFR).</w:t>
      </w:r>
    </w:p>
    <w:p>
      <w:pPr>
        <w:spacing w:after="0" w:line="155" w:lineRule="exact"/>
        <w:rPr>
          <w:sz w:val="20"/>
          <w:szCs w:val="20"/>
          <w:color w:val="auto"/>
        </w:rPr>
      </w:pPr>
    </w:p>
    <w:p>
      <w:pPr>
        <w:ind w:right="40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Minnesota Gas Rate Case. </w:t>
      </w:r>
      <w:r>
        <w:rPr>
          <w:rFonts w:ascii="Times New Roman" w:cs="Times New Roman" w:eastAsia="Times New Roman" w:hAnsi="Times New Roman"/>
          <w:sz w:val="14"/>
          <w:szCs w:val="14"/>
          <w:color w:val="auto"/>
        </w:rPr>
        <w:t>On November 1, 2023, CERC filed an application with the MPUC requesting an adjustment to delivery charges in 2024 and 2025 for the natural gas business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Minnesota. The requested increase was for approximately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86" w:name="page87"/>
    <w:bookmarkEnd w:id="86"/>
    <w:p>
      <w:pPr>
        <w:spacing w:after="0" w:line="257" w:lineRule="auto"/>
        <w:rPr>
          <w:sz w:val="20"/>
          <w:szCs w:val="20"/>
          <w:color w:val="auto"/>
        </w:rPr>
      </w:pPr>
      <w:r>
        <w:rPr>
          <w:rFonts w:ascii="Times New Roman" w:cs="Times New Roman" w:eastAsia="Times New Roman" w:hAnsi="Times New Roman"/>
          <w:sz w:val="14"/>
          <w:szCs w:val="14"/>
          <w:color w:val="auto"/>
        </w:rPr>
        <w:t>6.5% or $85 million for 2024 and an additional approximately 3.7% or $52 million for 2025. The need for a rate change was primarily driven by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reflected a proposed 10.3% ROE on a 52.5% equity ratio. Interim rates for 2024 of $69 million, subject to refund, were implemented as of January 1, 2024. A request for interim rates of $33 million for 2025 was filed on September 30, 2024, approved at the December 3, 2024 hearing and approved by an order issued December 20, 2024. A unanimous settlement agreement was filed on November 25, 2024 and provided for an increase of $60.8 million for 2024 and an additional $42.7 million for 2025. The parties agreed to an overall cost of capital of 7.07% for 2024 and 2025. The ALJ filed a report on February 13, 2025 recommending that the MPUC approve the settlement agreement. As required by the December 20, 2024 order, the difference between 2024 interim rates and the settled amount of $60.8 million was refunded to customers in March 2025. Exceptions to the ALJ report were filed on April 18, 2025. On May 29, 2025, the MPUC approved the settlement agreement. A final order approving the settlement agreement was issued by the MPUC on June 27, 2025 and final rates were implemented on September 1, 2025.</w:t>
      </w:r>
    </w:p>
    <w:p>
      <w:pPr>
        <w:spacing w:after="0" w:line="165"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Indiana Electric Rate Case. </w:t>
      </w:r>
      <w:r>
        <w:rPr>
          <w:rFonts w:ascii="Times New Roman" w:cs="Times New Roman" w:eastAsia="Times New Roman" w:hAnsi="Times New Roman"/>
          <w:sz w:val="14"/>
          <w:szCs w:val="14"/>
          <w:color w:val="auto"/>
        </w:rPr>
        <w:t>On December 5, 2023, Indiana Electric filed a petition with the IURC for authority to modify its rates and charges for electric utility service through a phase-in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rates. The requested increase was approximately 16% or $119 million based on a forward looking 2025 test year. The need for a rate increase was primarily driven by the continuing investment in the safety and reliability of the system and normal increases in operating expenses. The initial filing of the rate case reflected a proposed 10.4% ROE on a forecasted 55% equity ratio. Indiana Electric reached a settlement agreement with less than all parties and submitted the agreement to the IURC on May 20, 2024. The settlement reflected a proposed 9.8% ROE on a forecasted 55% equity ratio. The requested increase was lowered to $80 million, an 11% increase. Indiana Electric received a final order on February 3, 2025 approving the settlement with one modification that effectively capped the residential increase to 1.15% of the total increase, allocating the difference to other commercial and industrial customers. The final order approved the 9.8% ROE on a forecasted 55% equity ratio and increases revenues by $80 million.</w:t>
      </w:r>
    </w:p>
    <w:p>
      <w:pPr>
        <w:spacing w:after="0" w:line="163"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Houston Electric Rate Case. </w:t>
      </w:r>
      <w:r>
        <w:rPr>
          <w:rFonts w:ascii="Times New Roman" w:cs="Times New Roman" w:eastAsia="Times New Roman" w:hAnsi="Times New Roman"/>
          <w:sz w:val="14"/>
          <w:szCs w:val="14"/>
          <w:color w:val="auto"/>
        </w:rPr>
        <w:t>On March 6, 2024, Houston Electric filed an application with the PUCT requesting authority to change rates and charges for electric transmission and distribution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 The requested increase was approximately $17 million (1%) for retail customers and $43 million (6.6%) for wholesale transmission service, excluding TCRF and rate case expenses. The need for a rate increase was primarily driven by continuing investment that has been made to support customer growth and to bolster the safety and reliability of Houston Electric’s transmission and distribution system. The request reflected a proposed 10.4% ROE and a 45% equity ratio. Errata testimony was filed to correct minor errors included in the initial filing, which reduced the requested increase to $56 million compared to then-current rates. Houston Electric reached a settlement agreement with certain parties and submitted the agreement to the PUCT on January 29, 2025. The settlement reflected a $47 million reduction in annual revenues and a 9.65% ROE and a weighted average cost of capital of 6.606% based upon an as-filed 4.29% cost of debt, an agreed ROE of</w:t>
      </w:r>
    </w:p>
    <w:p>
      <w:pPr>
        <w:ind w:right="140"/>
        <w:spacing w:after="0" w:line="266" w:lineRule="auto"/>
        <w:rPr>
          <w:sz w:val="20"/>
          <w:szCs w:val="20"/>
          <w:color w:val="auto"/>
        </w:rPr>
      </w:pPr>
      <w:r>
        <w:rPr>
          <w:rFonts w:ascii="Times New Roman" w:cs="Times New Roman" w:eastAsia="Times New Roman" w:hAnsi="Times New Roman"/>
          <w:sz w:val="14"/>
          <w:szCs w:val="14"/>
          <w:color w:val="auto"/>
        </w:rPr>
        <w:t>9.65% and an agreed regulatory capital structure of 56.75% long-term debt and 43.25% equity. A final order approving the settlement agreement was issued by the PUCT on March 13, 2025. Final retail delivery rates were implemented on April 28, 2025. Final wholesale transmission rates were superseded by interim TCOS rates that went into effect on the same date.</w:t>
      </w:r>
    </w:p>
    <w:p>
      <w:pPr>
        <w:spacing w:after="0" w:line="15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Ohio Gas Rate Case</w:t>
      </w:r>
      <w:r>
        <w:rPr>
          <w:rFonts w:ascii="Times New Roman" w:cs="Times New Roman" w:eastAsia="Times New Roman" w:hAnsi="Times New Roman"/>
          <w:sz w:val="14"/>
          <w:szCs w:val="14"/>
          <w:color w:val="auto"/>
        </w:rPr>
        <w:t>. CEOH filed its Application and Standard Filing Requirement in October 2024 and the related testimony in November 2024. The filing seeks a revenue requirement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approximately $100 million based on a requested ROE of 10.4% and an equity percentage of 54.13%. The need for a rate increase was primarily driven by continuing investment in the safety and reliability of the natural gas system. On May 16, 2025, the PUCO staff filed its staff report recommending a revenue requirement range of $340.8 million to $350.3 million and a net increase of $25.1 million to $34.6 million based on an ROE range from 9.05% to 10.07% with a capitalization ratio of 52.3% common equity and 47.7% long-term debt. The PUCO staff recommendation includes amortization over 49 years and 65 years for CEP and DRR regulatory assets, respectively, compared to CEOH’s proposal to amortize over seven years. On June 16, 2025, CEOH filed objections to the PUCO staff report and supplemental testimony. On July 11, 2025, CEOH filed a stipulation and recommendation that outlined the agreed upon terms between CEOH, the Federal Executive Agencies, Ohio Energy Group, the City of Dayton, the Retail Energy Supply Association, Interstate Gas Supply, LLC and the PUCO staff. One intervening party to the case, Spire Marketing, Inc., is a non-opposing party, while another intervening party to the case, the Office of the Ohio Consumers’ Counsel, filed its testimony in opposition to the stipulation and recommendation on July 29, 2025. The stipulation and recommendation included a revenue requirement of $371.3 million, which would result in a revenue requirement increase of $59.6 million based on a rate of return of 7.1% comprised of a ROE of 9.85% with a capitalization ratio of 52.9% common equity, 47.1% long-term debt at a cost of debt of 4.02%. The stipulation and recommendation amortization periods for CEP and DRR regulatory assets within base rates and within the rider mechanisms is 15 years. The stipulation and recommendation included an extension of the CEP rider and DRR through 2029 investment with revised residential caps for dollars per month per customer ranging from $2.75 for 2025 investment to $9.95 for 2029 investment for the CEP rider, and from $2.56 for 2025 investment to $7.69 for 2029 investment for DRR. The evidentiary hearing commenced on July 21, 2025. The stipulating parties were crossed by the Office of the Ohio Consumers’ Counsel on July 28 and August 4, 2025, and the Office of the Ohio</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34" w:right="359" w:bottom="1440" w:gutter="0" w:footer="0" w:header="0"/>
        </w:sectPr>
      </w:pPr>
    </w:p>
    <w:bookmarkStart w:id="87" w:name="page88"/>
    <w:bookmarkEnd w:id="87"/>
    <w:p>
      <w:pPr>
        <w:spacing w:after="0" w:line="259" w:lineRule="auto"/>
        <w:rPr>
          <w:sz w:val="20"/>
          <w:szCs w:val="20"/>
          <w:color w:val="auto"/>
        </w:rPr>
      </w:pPr>
      <w:r>
        <w:rPr>
          <w:rFonts w:ascii="Times New Roman" w:cs="Times New Roman" w:eastAsia="Times New Roman" w:hAnsi="Times New Roman"/>
          <w:sz w:val="14"/>
          <w:szCs w:val="14"/>
          <w:color w:val="auto"/>
        </w:rPr>
        <w:t>Consumers’ Counsel was crossed by the stipulating parties on July 29 and August 5, 2025. On July 29, 2025, a PUCO local public hearing was conducted. The parties filed initial briefs on August 26, 2025, and reply briefs on September 9, 2025. On November 21, 2025, CEOH filed a late filed exhibit to the stipulation and recommendation to include actual rate case expenses, which resulted in a revised revenue requirement increase of $59.7 million. The PUCO order was issued on January 7, 2026, modifying and adopting the stipulation and resolving all issues related to the case. The PUCO order modifications include: (1) extending the 15-year amortization periods for the CEP and DRR deferral balances to 25 years, which had a $7.9 million negative impact on the revenue requirement, and (2) a ROE of 9.79%, resulting in a rate of return of 7.07%, which had a $0.6 million negative impact on the revenue requirement. These two modifications result in a revised revenue requirement increase of $51.3 million and a total revenue requirement of $363 million. Revised rates became effective on a services rendered basis effective January 12, 2026.</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significant applications pending or completed since the Registrants’ combined 2024 Form 10-K was filed with the SEC through the date of the filing of this Form 10-K:</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0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260" w:type="dxa"/>
            <w:vAlign w:val="bottom"/>
          </w:tcPr>
          <w:p>
            <w:pPr>
              <w:spacing w:after="0"/>
              <w:rPr>
                <w:sz w:val="9"/>
                <w:szCs w:val="9"/>
                <w:color w:val="auto"/>
              </w:rPr>
            </w:pPr>
          </w:p>
        </w:tc>
        <w:tc>
          <w:tcPr>
            <w:tcW w:w="1020" w:type="dxa"/>
            <w:vAlign w:val="bottom"/>
          </w:tcPr>
          <w:p>
            <w:pPr>
              <w:jc w:val="center"/>
              <w:ind w:right="123"/>
              <w:spacing w:after="0" w:line="115" w:lineRule="exact"/>
              <w:rPr>
                <w:sz w:val="20"/>
                <w:szCs w:val="20"/>
                <w:color w:val="auto"/>
              </w:rPr>
            </w:pPr>
            <w:r>
              <w:rPr>
                <w:rFonts w:ascii="Times New Roman" w:cs="Times New Roman" w:eastAsia="Times New Roman" w:hAnsi="Times New Roman"/>
                <w:sz w:val="11"/>
                <w:szCs w:val="11"/>
                <w:b w:val="1"/>
                <w:bCs w:val="1"/>
                <w:color w:val="auto"/>
              </w:rPr>
              <w:t>(Decrease) (1)</w:t>
            </w:r>
          </w:p>
        </w:tc>
        <w:tc>
          <w:tcPr>
            <w:tcW w:w="900" w:type="dxa"/>
            <w:vAlign w:val="bottom"/>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96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780" w:type="dxa"/>
            <w:vAlign w:val="bottom"/>
            <w:vMerge w:val="restart"/>
          </w:tcPr>
          <w:p>
            <w:pPr>
              <w:ind w:left="236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5"/>
        </w:trPr>
        <w:tc>
          <w:tcPr>
            <w:tcW w:w="10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5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CenterPoint Energy and Houston Electric (PUCT)</w:t>
            </w:r>
          </w:p>
        </w:tc>
        <w:tc>
          <w:tcPr>
            <w:tcW w:w="0" w:type="dxa"/>
            <w:vAlign w:val="bottom"/>
          </w:tcPr>
          <w:p>
            <w:pPr>
              <w:spacing w:after="0"/>
              <w:rPr>
                <w:sz w:val="1"/>
                <w:szCs w:val="1"/>
                <w:color w:val="auto"/>
              </w:rPr>
            </w:pPr>
          </w:p>
        </w:tc>
      </w:tr>
      <w:tr>
        <w:trPr>
          <w:trHeight w:val="166"/>
        </w:trPr>
        <w:tc>
          <w:tcPr>
            <w:tcW w:w="100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w w:val="99"/>
              </w:rPr>
              <w:t>Rate Case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(47)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March 2024</w:t>
            </w:r>
          </w:p>
        </w:tc>
        <w:tc>
          <w:tcPr>
            <w:tcW w:w="96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April 2025</w:t>
            </w:r>
          </w:p>
        </w:tc>
        <w:tc>
          <w:tcPr>
            <w:tcW w:w="96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March 2025</w:t>
            </w: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Houston Electric Rate Case</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1000" w:type="dxa"/>
            <w:vAlign w:val="bottom"/>
          </w:tcPr>
          <w:p>
            <w:pPr>
              <w:jc w:val="center"/>
              <w:ind w:left="23"/>
              <w:spacing w:after="0" w:line="110" w:lineRule="exact"/>
              <w:rPr>
                <w:sz w:val="20"/>
                <w:szCs w:val="20"/>
                <w:color w:val="auto"/>
              </w:rPr>
            </w:pPr>
            <w:r>
              <w:rPr>
                <w:rFonts w:ascii="Times New Roman" w:cs="Times New Roman" w:eastAsia="Times New Roman" w:hAnsi="Times New Roman"/>
                <w:sz w:val="11"/>
                <w:szCs w:val="11"/>
                <w:color w:val="auto"/>
                <w:w w:val="99"/>
              </w:rPr>
              <w:t>TCOS</w:t>
            </w:r>
          </w:p>
        </w:tc>
        <w:tc>
          <w:tcPr>
            <w:tcW w:w="2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83"/>
              <w:spacing w:after="0" w:line="110" w:lineRule="exact"/>
              <w:rPr>
                <w:sz w:val="20"/>
                <w:szCs w:val="20"/>
                <w:color w:val="auto"/>
              </w:rPr>
            </w:pPr>
            <w:r>
              <w:rPr>
                <w:rFonts w:ascii="Times New Roman" w:cs="Times New Roman" w:eastAsia="Times New Roman" w:hAnsi="Times New Roman"/>
                <w:sz w:val="11"/>
                <w:szCs w:val="11"/>
                <w:color w:val="auto"/>
              </w:rPr>
              <w:t>64</w:t>
            </w:r>
          </w:p>
        </w:tc>
        <w:tc>
          <w:tcPr>
            <w:tcW w:w="90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February 2025</w:t>
            </w:r>
          </w:p>
        </w:tc>
        <w:tc>
          <w:tcPr>
            <w:tcW w:w="960" w:type="dxa"/>
            <w:vAlign w:val="bottom"/>
          </w:tcPr>
          <w:p>
            <w:pPr>
              <w:jc w:val="center"/>
              <w:ind w:left="3"/>
              <w:spacing w:after="0" w:line="110" w:lineRule="exact"/>
              <w:rPr>
                <w:sz w:val="20"/>
                <w:szCs w:val="20"/>
                <w:color w:val="auto"/>
              </w:rPr>
            </w:pPr>
            <w:r>
              <w:rPr>
                <w:rFonts w:ascii="Times New Roman" w:cs="Times New Roman" w:eastAsia="Times New Roman" w:hAnsi="Times New Roman"/>
                <w:sz w:val="11"/>
                <w:szCs w:val="11"/>
                <w:color w:val="auto"/>
              </w:rPr>
              <w:t>April 2025</w:t>
            </w:r>
          </w:p>
        </w:tc>
        <w:tc>
          <w:tcPr>
            <w:tcW w:w="960" w:type="dxa"/>
            <w:vAlign w:val="bottom"/>
          </w:tcPr>
          <w:p>
            <w:pPr>
              <w:jc w:val="center"/>
              <w:ind w:left="23"/>
              <w:spacing w:after="0" w:line="110" w:lineRule="exact"/>
              <w:rPr>
                <w:sz w:val="20"/>
                <w:szCs w:val="20"/>
                <w:color w:val="auto"/>
              </w:rPr>
            </w:pPr>
            <w:r>
              <w:rPr>
                <w:rFonts w:ascii="Times New Roman" w:cs="Times New Roman" w:eastAsia="Times New Roman" w:hAnsi="Times New Roman"/>
                <w:sz w:val="11"/>
                <w:szCs w:val="11"/>
                <w:color w:val="auto"/>
                <w:w w:val="99"/>
              </w:rPr>
              <w:t>April 2025</w:t>
            </w:r>
          </w:p>
        </w:tc>
        <w:tc>
          <w:tcPr>
            <w:tcW w:w="57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base rate proceeding of approximately $614 million for the period</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January 1, 2024 through December 31, 2024.</w:t>
            </w:r>
          </w:p>
        </w:tc>
        <w:tc>
          <w:tcPr>
            <w:tcW w:w="0" w:type="dxa"/>
            <w:vAlign w:val="bottom"/>
          </w:tcPr>
          <w:p>
            <w:pPr>
              <w:spacing w:after="0"/>
              <w:rPr>
                <w:sz w:val="1"/>
                <w:szCs w:val="1"/>
                <w:color w:val="auto"/>
              </w:rPr>
            </w:pPr>
          </w:p>
        </w:tc>
      </w:tr>
      <w:tr>
        <w:trPr>
          <w:trHeight w:val="114"/>
        </w:trPr>
        <w:tc>
          <w:tcPr>
            <w:tcW w:w="1000" w:type="dxa"/>
            <w:vAlign w:val="bottom"/>
            <w:shd w:val="clear" w:color="auto" w:fill="CCEEFF"/>
          </w:tcPr>
          <w:p>
            <w:pPr>
              <w:jc w:val="center"/>
              <w:ind w:left="23"/>
              <w:spacing w:after="0" w:line="114" w:lineRule="exact"/>
              <w:rPr>
                <w:sz w:val="20"/>
                <w:szCs w:val="20"/>
                <w:color w:val="auto"/>
              </w:rPr>
            </w:pPr>
            <w:r>
              <w:rPr>
                <w:rFonts w:ascii="Times New Roman" w:cs="Times New Roman" w:eastAsia="Times New Roman" w:hAnsi="Times New Roman"/>
                <w:sz w:val="11"/>
                <w:szCs w:val="11"/>
                <w:color w:val="auto"/>
                <w:w w:val="97"/>
              </w:rPr>
              <w:t>DCRF</w:t>
            </w:r>
          </w:p>
        </w:tc>
        <w:tc>
          <w:tcPr>
            <w:tcW w:w="2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83"/>
              <w:spacing w:after="0" w:line="114" w:lineRule="exact"/>
              <w:rPr>
                <w:sz w:val="20"/>
                <w:szCs w:val="20"/>
                <w:color w:val="auto"/>
              </w:rPr>
            </w:pPr>
            <w:r>
              <w:rPr>
                <w:rFonts w:ascii="Times New Roman" w:cs="Times New Roman" w:eastAsia="Times New Roman" w:hAnsi="Times New Roman"/>
                <w:sz w:val="11"/>
                <w:szCs w:val="11"/>
                <w:color w:val="auto"/>
              </w:rPr>
              <w:t>123</w:t>
            </w:r>
          </w:p>
        </w:tc>
        <w:tc>
          <w:tcPr>
            <w:tcW w:w="900" w:type="dxa"/>
            <w:vAlign w:val="bottom"/>
            <w:shd w:val="clear" w:color="auto" w:fill="CCEEFF"/>
          </w:tcPr>
          <w:p>
            <w:pPr>
              <w:jc w:val="center"/>
              <w:spacing w:after="0" w:line="114" w:lineRule="exact"/>
              <w:rPr>
                <w:sz w:val="20"/>
                <w:szCs w:val="20"/>
                <w:color w:val="auto"/>
              </w:rPr>
            </w:pPr>
            <w:r>
              <w:rPr>
                <w:rFonts w:ascii="Times New Roman" w:cs="Times New Roman" w:eastAsia="Times New Roman" w:hAnsi="Times New Roman"/>
                <w:sz w:val="11"/>
                <w:szCs w:val="11"/>
                <w:color w:val="auto"/>
              </w:rPr>
              <w:t>February 2025</w:t>
            </w:r>
          </w:p>
        </w:tc>
        <w:tc>
          <w:tcPr>
            <w:tcW w:w="960" w:type="dxa"/>
            <w:vAlign w:val="bottom"/>
            <w:shd w:val="clear" w:color="auto" w:fill="CCEEFF"/>
          </w:tcPr>
          <w:p>
            <w:pPr>
              <w:jc w:val="center"/>
              <w:spacing w:after="0" w:line="114" w:lineRule="exact"/>
              <w:rPr>
                <w:sz w:val="20"/>
                <w:szCs w:val="20"/>
                <w:color w:val="auto"/>
              </w:rPr>
            </w:pPr>
            <w:r>
              <w:rPr>
                <w:rFonts w:ascii="Times New Roman" w:cs="Times New Roman" w:eastAsia="Times New Roman" w:hAnsi="Times New Roman"/>
                <w:sz w:val="11"/>
                <w:szCs w:val="11"/>
                <w:color w:val="auto"/>
              </w:rPr>
              <w:t>July 2025</w:t>
            </w:r>
          </w:p>
        </w:tc>
        <w:tc>
          <w:tcPr>
            <w:tcW w:w="960" w:type="dxa"/>
            <w:vAlign w:val="bottom"/>
            <w:shd w:val="clear" w:color="auto" w:fill="CCEEFF"/>
          </w:tcPr>
          <w:p>
            <w:pPr>
              <w:jc w:val="center"/>
              <w:ind w:left="3"/>
              <w:spacing w:after="0" w:line="114" w:lineRule="exact"/>
              <w:rPr>
                <w:sz w:val="20"/>
                <w:szCs w:val="20"/>
                <w:color w:val="auto"/>
              </w:rPr>
            </w:pPr>
            <w:r>
              <w:rPr>
                <w:rFonts w:ascii="Times New Roman" w:cs="Times New Roman" w:eastAsia="Times New Roman" w:hAnsi="Times New Roman"/>
                <w:sz w:val="11"/>
                <w:szCs w:val="11"/>
                <w:color w:val="auto"/>
              </w:rPr>
              <w:t>June 2025</w:t>
            </w:r>
          </w:p>
        </w:tc>
        <w:tc>
          <w:tcPr>
            <w:tcW w:w="578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Based on the net change in distribution invested capital since its last base rate proceeding of approximately $1 billion for the</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7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period January 1, 2024 through December 31, 2024, for an incremental revenue increase of $123 million adjusted for load</w:t>
            </w:r>
          </w:p>
        </w:tc>
        <w:tc>
          <w:tcPr>
            <w:tcW w:w="0" w:type="dxa"/>
            <w:vAlign w:val="bottom"/>
          </w:tcPr>
          <w:p>
            <w:pPr>
              <w:spacing w:after="0"/>
              <w:rPr>
                <w:sz w:val="1"/>
                <w:szCs w:val="1"/>
                <w:color w:val="auto"/>
              </w:rPr>
            </w:pPr>
          </w:p>
        </w:tc>
      </w:tr>
      <w:tr>
        <w:trPr>
          <w:trHeight w:val="159"/>
        </w:trPr>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growth.</w:t>
            </w:r>
          </w:p>
        </w:tc>
        <w:tc>
          <w:tcPr>
            <w:tcW w:w="0" w:type="dxa"/>
            <w:vAlign w:val="bottom"/>
          </w:tcPr>
          <w:p>
            <w:pPr>
              <w:spacing w:after="0"/>
              <w:rPr>
                <w:sz w:val="1"/>
                <w:szCs w:val="1"/>
                <w:color w:val="auto"/>
              </w:rPr>
            </w:pPr>
          </w:p>
        </w:tc>
      </w:tr>
      <w:tr>
        <w:trPr>
          <w:trHeight w:val="110"/>
        </w:trPr>
        <w:tc>
          <w:tcPr>
            <w:tcW w:w="1000" w:type="dxa"/>
            <w:vAlign w:val="bottom"/>
          </w:tcPr>
          <w:p>
            <w:pPr>
              <w:jc w:val="center"/>
              <w:ind w:left="43"/>
              <w:spacing w:after="0" w:line="110" w:lineRule="exact"/>
              <w:rPr>
                <w:sz w:val="20"/>
                <w:szCs w:val="20"/>
                <w:color w:val="auto"/>
              </w:rPr>
            </w:pPr>
            <w:r>
              <w:rPr>
                <w:rFonts w:ascii="Times New Roman" w:cs="Times New Roman" w:eastAsia="Times New Roman" w:hAnsi="Times New Roman"/>
                <w:sz w:val="11"/>
                <w:szCs w:val="11"/>
                <w:color w:val="auto"/>
              </w:rPr>
              <w:t>TEEEF</w:t>
            </w:r>
          </w:p>
        </w:tc>
        <w:tc>
          <w:tcPr>
            <w:tcW w:w="2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ind w:left="720"/>
              <w:spacing w:after="0" w:line="110" w:lineRule="exact"/>
              <w:rPr>
                <w:sz w:val="20"/>
                <w:szCs w:val="20"/>
                <w:color w:val="auto"/>
              </w:rPr>
            </w:pPr>
            <w:r>
              <w:rPr>
                <w:rFonts w:ascii="Times New Roman" w:cs="Times New Roman" w:eastAsia="Times New Roman" w:hAnsi="Times New Roman"/>
                <w:sz w:val="11"/>
                <w:szCs w:val="11"/>
                <w:color w:val="auto"/>
              </w:rPr>
              <w:t>(24)</w:t>
            </w:r>
          </w:p>
        </w:tc>
        <w:tc>
          <w:tcPr>
            <w:tcW w:w="90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April 2025</w:t>
            </w:r>
          </w:p>
        </w:tc>
        <w:tc>
          <w:tcPr>
            <w:tcW w:w="960" w:type="dxa"/>
            <w:vAlign w:val="bottom"/>
          </w:tcPr>
          <w:p>
            <w:pPr>
              <w:jc w:val="center"/>
              <w:ind w:left="3"/>
              <w:spacing w:after="0" w:line="110" w:lineRule="exact"/>
              <w:rPr>
                <w:sz w:val="20"/>
                <w:szCs w:val="20"/>
                <w:color w:val="auto"/>
              </w:rPr>
            </w:pPr>
            <w:r>
              <w:rPr>
                <w:rFonts w:ascii="Times New Roman" w:cs="Times New Roman" w:eastAsia="Times New Roman" w:hAnsi="Times New Roman"/>
                <w:sz w:val="11"/>
                <w:szCs w:val="11"/>
                <w:color w:val="auto"/>
                <w:w w:val="99"/>
              </w:rPr>
              <w:t>TBD</w:t>
            </w:r>
          </w:p>
        </w:tc>
        <w:tc>
          <w:tcPr>
            <w:tcW w:w="960" w:type="dxa"/>
            <w:vAlign w:val="bottom"/>
          </w:tcPr>
          <w:p>
            <w:pPr>
              <w:jc w:val="center"/>
              <w:ind w:left="23"/>
              <w:spacing w:after="0" w:line="110" w:lineRule="exact"/>
              <w:rPr>
                <w:sz w:val="20"/>
                <w:szCs w:val="20"/>
                <w:color w:val="auto"/>
              </w:rPr>
            </w:pPr>
            <w:r>
              <w:rPr>
                <w:rFonts w:ascii="Times New Roman" w:cs="Times New Roman" w:eastAsia="Times New Roman" w:hAnsi="Times New Roman"/>
                <w:sz w:val="11"/>
                <w:szCs w:val="11"/>
                <w:color w:val="auto"/>
              </w:rPr>
              <w:t>TBD</w:t>
            </w:r>
          </w:p>
        </w:tc>
        <w:tc>
          <w:tcPr>
            <w:tcW w:w="57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Seeks approval of: (1) the release of Houston Electric’s 15 large 32 MW TEEEF units to ERCOT at CPS Energy facilities to</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serve the greater San Antonio region until March 2027 unless terminated earlier pursuant to the provisions of the ERCOT</w:t>
            </w: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Transaction; (2) a corresponding reduction to the capacity of the Houston Electric TEEEF fleet; and (3) a reduction and</w:t>
            </w: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7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update to Houston Electric’s rider TEEEF rate to reflect the removal of the 15 large 32 MW TEEEF units from Houston</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Electric’s TEEEF fleet. Houston Electric will make no revenue or profit from ERCOT for the time period when the 15 large</w:t>
            </w: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32 MW TEEEF units are in the San Antonio area being dispatched by ERCOT. In November 2025, Houston Electric also</w:t>
            </w: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7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proposed to release the five medium 5.7 MW TEEEF units from its TEEEF fleet and remove the associated lease costs</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effective January 1, 2026. On February 13, 2026, Houston Electric filed a letter requesting continued abatement until</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February 27, 2026 due to continued settlement discussions.</w:t>
            </w:r>
          </w:p>
        </w:tc>
        <w:tc>
          <w:tcPr>
            <w:tcW w:w="0" w:type="dxa"/>
            <w:vAlign w:val="bottom"/>
          </w:tcPr>
          <w:p>
            <w:pPr>
              <w:spacing w:after="0"/>
              <w:rPr>
                <w:sz w:val="1"/>
                <w:szCs w:val="1"/>
                <w:color w:val="auto"/>
              </w:rPr>
            </w:pPr>
          </w:p>
        </w:tc>
      </w:tr>
      <w:tr>
        <w:trPr>
          <w:trHeight w:val="116"/>
        </w:trPr>
        <w:tc>
          <w:tcPr>
            <w:tcW w:w="1000" w:type="dxa"/>
            <w:vAlign w:val="bottom"/>
            <w:shd w:val="clear" w:color="auto" w:fill="CCEEFF"/>
          </w:tcPr>
          <w:p>
            <w:pPr>
              <w:jc w:val="center"/>
              <w:ind w:left="43"/>
              <w:spacing w:after="0" w:line="116" w:lineRule="exact"/>
              <w:rPr>
                <w:sz w:val="20"/>
                <w:szCs w:val="20"/>
                <w:color w:val="auto"/>
              </w:rPr>
            </w:pPr>
            <w:r>
              <w:rPr>
                <w:rFonts w:ascii="Times New Roman" w:cs="Times New Roman" w:eastAsia="Times New Roman" w:hAnsi="Times New Roman"/>
                <w:sz w:val="11"/>
                <w:szCs w:val="11"/>
                <w:color w:val="auto"/>
              </w:rPr>
              <w:t>TEEEF</w:t>
            </w: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ind w:left="720"/>
              <w:spacing w:after="0" w:line="116" w:lineRule="exact"/>
              <w:rPr>
                <w:sz w:val="20"/>
                <w:szCs w:val="20"/>
                <w:color w:val="auto"/>
              </w:rPr>
            </w:pPr>
            <w:r>
              <w:rPr>
                <w:rFonts w:ascii="Times New Roman" w:cs="Times New Roman" w:eastAsia="Times New Roman" w:hAnsi="Times New Roman"/>
                <w:sz w:val="11"/>
                <w:szCs w:val="11"/>
                <w:color w:val="auto"/>
              </w:rPr>
              <w:t>N/A</w:t>
            </w:r>
          </w:p>
        </w:tc>
        <w:tc>
          <w:tcPr>
            <w:tcW w:w="90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1"/>
                <w:szCs w:val="11"/>
                <w:color w:val="auto"/>
              </w:rPr>
              <w:t>May 2025</w:t>
            </w:r>
          </w:p>
        </w:tc>
        <w:tc>
          <w:tcPr>
            <w:tcW w:w="960" w:type="dxa"/>
            <w:vAlign w:val="bottom"/>
            <w:shd w:val="clear" w:color="auto" w:fill="CCEEFF"/>
          </w:tcPr>
          <w:p>
            <w:pPr>
              <w:jc w:val="center"/>
              <w:ind w:left="3"/>
              <w:spacing w:after="0" w:line="116" w:lineRule="exact"/>
              <w:rPr>
                <w:sz w:val="20"/>
                <w:szCs w:val="20"/>
                <w:color w:val="auto"/>
              </w:rPr>
            </w:pPr>
            <w:r>
              <w:rPr>
                <w:rFonts w:ascii="Times New Roman" w:cs="Times New Roman" w:eastAsia="Times New Roman" w:hAnsi="Times New Roman"/>
                <w:sz w:val="11"/>
                <w:szCs w:val="11"/>
                <w:color w:val="auto"/>
                <w:w w:val="99"/>
              </w:rPr>
              <w:t>TBD</w:t>
            </w:r>
          </w:p>
        </w:tc>
        <w:tc>
          <w:tcPr>
            <w:tcW w:w="960" w:type="dxa"/>
            <w:vAlign w:val="bottom"/>
            <w:shd w:val="clear" w:color="auto" w:fill="CCEEFF"/>
          </w:tcPr>
          <w:p>
            <w:pPr>
              <w:jc w:val="center"/>
              <w:ind w:left="23"/>
              <w:spacing w:after="0" w:line="116" w:lineRule="exact"/>
              <w:rPr>
                <w:sz w:val="20"/>
                <w:szCs w:val="20"/>
                <w:color w:val="auto"/>
              </w:rPr>
            </w:pPr>
            <w:r>
              <w:rPr>
                <w:rFonts w:ascii="Times New Roman" w:cs="Times New Roman" w:eastAsia="Times New Roman" w:hAnsi="Times New Roman"/>
                <w:sz w:val="11"/>
                <w:szCs w:val="11"/>
                <w:color w:val="auto"/>
              </w:rPr>
              <w:t>TBD</w:t>
            </w:r>
          </w:p>
        </w:tc>
        <w:tc>
          <w:tcPr>
            <w:tcW w:w="578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Seeks authorization to lease small, 200 kW to 1,250 kW TEEEF units for 36 months in accordance with the TEEEF Rule.</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7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Among other things, the TEEEF Rule generally requires that a utility obtain preapproval prior to renewing or entering into a</w:t>
            </w:r>
          </w:p>
        </w:tc>
        <w:tc>
          <w:tcPr>
            <w:tcW w:w="0" w:type="dxa"/>
            <w:vAlign w:val="bottom"/>
          </w:tcPr>
          <w:p>
            <w:pPr>
              <w:spacing w:after="0"/>
              <w:rPr>
                <w:sz w:val="1"/>
                <w:szCs w:val="1"/>
                <w:color w:val="auto"/>
              </w:rPr>
            </w:pPr>
          </w:p>
        </w:tc>
      </w:tr>
      <w:tr>
        <w:trPr>
          <w:trHeight w:val="110"/>
        </w:trPr>
        <w:tc>
          <w:tcPr>
            <w:tcW w:w="10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7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new lease of TEEEF units, with exceptions for emergency situations or if the lease includes a provision allowing for the</w:t>
            </w:r>
          </w:p>
        </w:tc>
        <w:tc>
          <w:tcPr>
            <w:tcW w:w="0" w:type="dxa"/>
            <w:vAlign w:val="bottom"/>
          </w:tcPr>
          <w:p>
            <w:pPr>
              <w:spacing w:after="0"/>
              <w:rPr>
                <w:sz w:val="1"/>
                <w:szCs w:val="1"/>
                <w:color w:val="auto"/>
              </w:rPr>
            </w:pPr>
          </w:p>
        </w:tc>
      </w:tr>
      <w:tr>
        <w:trPr>
          <w:trHeight w:val="117"/>
        </w:trPr>
        <w:tc>
          <w:tcPr>
            <w:tcW w:w="10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7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alteration of the lease based on applicable PUCT orders or rules. Approval of Houston Electric’s request in this filing will</w:t>
            </w: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7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have no cost impact on customers at this time, as cost determination will occur in a future proceeding. On January 6, 2026,</w:t>
            </w:r>
          </w:p>
        </w:tc>
        <w:tc>
          <w:tcPr>
            <w:tcW w:w="0" w:type="dxa"/>
            <w:vAlign w:val="bottom"/>
          </w:tcPr>
          <w:p>
            <w:pPr>
              <w:spacing w:after="0"/>
              <w:rPr>
                <w:sz w:val="1"/>
                <w:szCs w:val="1"/>
                <w:color w:val="auto"/>
              </w:rPr>
            </w:pPr>
          </w:p>
        </w:tc>
      </w:tr>
      <w:tr>
        <w:trPr>
          <w:trHeight w:val="159"/>
        </w:trPr>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Houston Electric provided the PUCT with a proposed order.</w:t>
            </w:r>
          </w:p>
        </w:tc>
        <w:tc>
          <w:tcPr>
            <w:tcW w:w="0" w:type="dxa"/>
            <w:vAlign w:val="bottom"/>
          </w:tcPr>
          <w:p>
            <w:pPr>
              <w:spacing w:after="0"/>
              <w:rPr>
                <w:sz w:val="1"/>
                <w:szCs w:val="1"/>
                <w:color w:val="auto"/>
              </w:rPr>
            </w:pPr>
          </w:p>
        </w:tc>
      </w:tr>
      <w:tr>
        <w:trPr>
          <w:trHeight w:val="110"/>
        </w:trPr>
        <w:tc>
          <w:tcPr>
            <w:tcW w:w="1000" w:type="dxa"/>
            <w:vAlign w:val="bottom"/>
          </w:tcPr>
          <w:p>
            <w:pPr>
              <w:jc w:val="center"/>
              <w:ind w:left="23"/>
              <w:spacing w:after="0" w:line="110" w:lineRule="exact"/>
              <w:rPr>
                <w:sz w:val="20"/>
                <w:szCs w:val="20"/>
                <w:color w:val="auto"/>
              </w:rPr>
            </w:pPr>
            <w:r>
              <w:rPr>
                <w:rFonts w:ascii="Times New Roman" w:cs="Times New Roman" w:eastAsia="Times New Roman" w:hAnsi="Times New Roman"/>
                <w:sz w:val="11"/>
                <w:szCs w:val="11"/>
                <w:color w:val="auto"/>
              </w:rPr>
              <w:t>EECRF</w:t>
            </w:r>
          </w:p>
        </w:tc>
        <w:tc>
          <w:tcPr>
            <w:tcW w:w="2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83"/>
              <w:spacing w:after="0" w:line="110" w:lineRule="exact"/>
              <w:rPr>
                <w:sz w:val="20"/>
                <w:szCs w:val="20"/>
                <w:color w:val="auto"/>
              </w:rPr>
            </w:pPr>
            <w:r>
              <w:rPr>
                <w:rFonts w:ascii="Times New Roman" w:cs="Times New Roman" w:eastAsia="Times New Roman" w:hAnsi="Times New Roman"/>
                <w:sz w:val="11"/>
                <w:szCs w:val="11"/>
                <w:color w:val="auto"/>
              </w:rPr>
              <w:t>40</w:t>
            </w:r>
          </w:p>
        </w:tc>
        <w:tc>
          <w:tcPr>
            <w:tcW w:w="90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May 2025</w:t>
            </w:r>
          </w:p>
        </w:tc>
        <w:tc>
          <w:tcPr>
            <w:tcW w:w="960" w:type="dxa"/>
            <w:vAlign w:val="bottom"/>
          </w:tcPr>
          <w:p>
            <w:pPr>
              <w:jc w:val="center"/>
              <w:ind w:left="3"/>
              <w:spacing w:after="0" w:line="110" w:lineRule="exact"/>
              <w:rPr>
                <w:sz w:val="20"/>
                <w:szCs w:val="20"/>
                <w:color w:val="auto"/>
              </w:rPr>
            </w:pPr>
            <w:r>
              <w:rPr>
                <w:rFonts w:ascii="Times New Roman" w:cs="Times New Roman" w:eastAsia="Times New Roman" w:hAnsi="Times New Roman"/>
                <w:sz w:val="11"/>
                <w:szCs w:val="11"/>
                <w:color w:val="auto"/>
              </w:rPr>
              <w:t>March 2026</w:t>
            </w:r>
          </w:p>
        </w:tc>
        <w:tc>
          <w:tcPr>
            <w:tcW w:w="960" w:type="dxa"/>
            <w:vAlign w:val="bottom"/>
          </w:tcPr>
          <w:p>
            <w:pPr>
              <w:jc w:val="center"/>
              <w:ind w:left="23"/>
              <w:spacing w:after="0" w:line="110" w:lineRule="exact"/>
              <w:rPr>
                <w:sz w:val="20"/>
                <w:szCs w:val="20"/>
                <w:color w:val="auto"/>
              </w:rPr>
            </w:pPr>
            <w:r>
              <w:rPr>
                <w:rFonts w:ascii="Times New Roman" w:cs="Times New Roman" w:eastAsia="Times New Roman" w:hAnsi="Times New Roman"/>
                <w:sz w:val="11"/>
                <w:szCs w:val="11"/>
                <w:color w:val="auto"/>
              </w:rPr>
              <w:t>December 2025</w:t>
            </w:r>
          </w:p>
        </w:tc>
        <w:tc>
          <w:tcPr>
            <w:tcW w:w="57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Requests $96 million, which is comprised primarily of the following: 2026 program costs of $50 million; $5 million related</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to the under-recovery of 2024 program costs; the 2024 earned bonus of $40 million; and 2026 projected evaluation,</w:t>
            </w: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measurement and verification costs of $0.6 million. On September 8, 2025, the Sierra Club filed direct testimony. On</w:t>
            </w: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7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September 19, 2025, the PUCT staff filed its recommendation requesting that SOAH approve the application as filed. On</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October 3, 2024, the PUCT staff petitioned (Docket No. 57172) to establish a secondary cap on utilities’ 2024 Program Year</w:t>
            </w: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(PY) earned performance bonuses equal to 25% of utilities’ total expenditures for PY 2024, and on August 13, 2025, the</w:t>
            </w: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7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PUCT issued a final order denying the PUCT staff’s petition. On October 7, 2025, Houston Electric filed an unanimous</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stipulation and settlement agreement for the full amount requested. On October 10, 2025, SOAH remanded this proceeding</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 the PUCT. A final order approving the settlement agreement was issued on December 12, 2025.</w:t>
            </w:r>
          </w:p>
        </w:tc>
        <w:tc>
          <w:tcPr>
            <w:tcW w:w="0" w:type="dxa"/>
            <w:vAlign w:val="bottom"/>
          </w:tcPr>
          <w:p>
            <w:pPr>
              <w:spacing w:after="0"/>
              <w:rPr>
                <w:sz w:val="1"/>
                <w:szCs w:val="1"/>
                <w:color w:val="auto"/>
              </w:rPr>
            </w:pPr>
          </w:p>
        </w:tc>
      </w:tr>
      <w:tr>
        <w:trPr>
          <w:trHeight w:val="116"/>
        </w:trPr>
        <w:tc>
          <w:tcPr>
            <w:tcW w:w="1000" w:type="dxa"/>
            <w:vAlign w:val="bottom"/>
            <w:shd w:val="clear" w:color="auto" w:fill="CCEEFF"/>
          </w:tcPr>
          <w:p>
            <w:pPr>
              <w:jc w:val="center"/>
              <w:ind w:left="23"/>
              <w:spacing w:after="0" w:line="116" w:lineRule="exact"/>
              <w:rPr>
                <w:sz w:val="20"/>
                <w:szCs w:val="20"/>
                <w:color w:val="auto"/>
              </w:rPr>
            </w:pPr>
            <w:r>
              <w:rPr>
                <w:rFonts w:ascii="Times New Roman" w:cs="Times New Roman" w:eastAsia="Times New Roman" w:hAnsi="Times New Roman"/>
                <w:sz w:val="11"/>
                <w:szCs w:val="11"/>
                <w:color w:val="auto"/>
                <w:w w:val="99"/>
              </w:rPr>
              <w:t>TCOS</w:t>
            </w:r>
          </w:p>
        </w:tc>
        <w:tc>
          <w:tcPr>
            <w:tcW w:w="2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83"/>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90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1"/>
                <w:szCs w:val="11"/>
                <w:color w:val="auto"/>
              </w:rPr>
              <w:t>August 2025</w:t>
            </w:r>
          </w:p>
        </w:tc>
        <w:tc>
          <w:tcPr>
            <w:tcW w:w="960" w:type="dxa"/>
            <w:vAlign w:val="bottom"/>
            <w:shd w:val="clear" w:color="auto" w:fill="CCEEFF"/>
          </w:tcPr>
          <w:p>
            <w:pPr>
              <w:jc w:val="center"/>
              <w:ind w:left="3"/>
              <w:spacing w:after="0" w:line="116" w:lineRule="exact"/>
              <w:rPr>
                <w:sz w:val="20"/>
                <w:szCs w:val="20"/>
                <w:color w:val="auto"/>
              </w:rPr>
            </w:pPr>
            <w:r>
              <w:rPr>
                <w:rFonts w:ascii="Times New Roman" w:cs="Times New Roman" w:eastAsia="Times New Roman" w:hAnsi="Times New Roman"/>
                <w:sz w:val="11"/>
                <w:szCs w:val="11"/>
                <w:color w:val="auto"/>
              </w:rPr>
              <w:t>October 2025</w:t>
            </w:r>
          </w:p>
        </w:tc>
        <w:tc>
          <w:tcPr>
            <w:tcW w:w="960" w:type="dxa"/>
            <w:vAlign w:val="bottom"/>
            <w:shd w:val="clear" w:color="auto" w:fill="CCEEFF"/>
          </w:tcPr>
          <w:p>
            <w:pPr>
              <w:jc w:val="center"/>
              <w:ind w:left="3"/>
              <w:spacing w:after="0" w:line="116" w:lineRule="exact"/>
              <w:rPr>
                <w:sz w:val="20"/>
                <w:szCs w:val="20"/>
                <w:color w:val="auto"/>
              </w:rPr>
            </w:pPr>
            <w:r>
              <w:rPr>
                <w:rFonts w:ascii="Times New Roman" w:cs="Times New Roman" w:eastAsia="Times New Roman" w:hAnsi="Times New Roman"/>
                <w:sz w:val="11"/>
                <w:szCs w:val="11"/>
                <w:color w:val="auto"/>
              </w:rPr>
              <w:t>October 2025</w:t>
            </w:r>
          </w:p>
        </w:tc>
        <w:tc>
          <w:tcPr>
            <w:tcW w:w="578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TCOS proceeding of approximately $112 million for the period</w:t>
            </w: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January 1, 2025 through June 30, 2025.</w:t>
            </w:r>
          </w:p>
        </w:tc>
        <w:tc>
          <w:tcPr>
            <w:tcW w:w="0" w:type="dxa"/>
            <w:vAlign w:val="bottom"/>
          </w:tcPr>
          <w:p>
            <w:pPr>
              <w:spacing w:after="0"/>
              <w:rPr>
                <w:sz w:val="1"/>
                <w:szCs w:val="1"/>
                <w:color w:val="auto"/>
              </w:rPr>
            </w:pPr>
          </w:p>
        </w:tc>
      </w:tr>
      <w:tr>
        <w:trPr>
          <w:trHeight w:val="110"/>
        </w:trPr>
        <w:tc>
          <w:tcPr>
            <w:tcW w:w="1000" w:type="dxa"/>
            <w:vAlign w:val="bottom"/>
          </w:tcPr>
          <w:p>
            <w:pPr>
              <w:jc w:val="center"/>
              <w:ind w:left="23"/>
              <w:spacing w:after="0" w:line="110" w:lineRule="exact"/>
              <w:rPr>
                <w:sz w:val="20"/>
                <w:szCs w:val="20"/>
                <w:color w:val="auto"/>
              </w:rPr>
            </w:pPr>
            <w:r>
              <w:rPr>
                <w:rFonts w:ascii="Times New Roman" w:cs="Times New Roman" w:eastAsia="Times New Roman" w:hAnsi="Times New Roman"/>
                <w:sz w:val="11"/>
                <w:szCs w:val="11"/>
                <w:color w:val="auto"/>
                <w:w w:val="97"/>
              </w:rPr>
              <w:t>DCRF</w:t>
            </w:r>
          </w:p>
        </w:tc>
        <w:tc>
          <w:tcPr>
            <w:tcW w:w="2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83"/>
              <w:spacing w:after="0" w:line="110" w:lineRule="exact"/>
              <w:rPr>
                <w:sz w:val="20"/>
                <w:szCs w:val="20"/>
                <w:color w:val="auto"/>
              </w:rPr>
            </w:pPr>
            <w:r>
              <w:rPr>
                <w:rFonts w:ascii="Times New Roman" w:cs="Times New Roman" w:eastAsia="Times New Roman" w:hAnsi="Times New Roman"/>
                <w:sz w:val="11"/>
                <w:szCs w:val="11"/>
                <w:color w:val="auto"/>
              </w:rPr>
              <w:t>55</w:t>
            </w:r>
          </w:p>
        </w:tc>
        <w:tc>
          <w:tcPr>
            <w:tcW w:w="90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August 2025</w:t>
            </w:r>
          </w:p>
        </w:tc>
        <w:tc>
          <w:tcPr>
            <w:tcW w:w="9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December 2025</w:t>
            </w:r>
          </w:p>
        </w:tc>
        <w:tc>
          <w:tcPr>
            <w:tcW w:w="960" w:type="dxa"/>
            <w:vAlign w:val="bottom"/>
          </w:tcPr>
          <w:p>
            <w:pPr>
              <w:jc w:val="center"/>
              <w:ind w:left="3"/>
              <w:spacing w:after="0" w:line="110" w:lineRule="exact"/>
              <w:rPr>
                <w:sz w:val="20"/>
                <w:szCs w:val="20"/>
                <w:color w:val="auto"/>
              </w:rPr>
            </w:pPr>
            <w:r>
              <w:rPr>
                <w:rFonts w:ascii="Times New Roman" w:cs="Times New Roman" w:eastAsia="Times New Roman" w:hAnsi="Times New Roman"/>
                <w:sz w:val="11"/>
                <w:szCs w:val="11"/>
                <w:color w:val="auto"/>
              </w:rPr>
              <w:t>October 2025</w:t>
            </w:r>
          </w:p>
        </w:tc>
        <w:tc>
          <w:tcPr>
            <w:tcW w:w="57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Based on the net change in distribution invested capital since its last base rate proceeding of approximately $1.5 billion for</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7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period January 1, 2024 through June 30, 2025 for an incremental revenue increase of $55 million adjusted for load</w:t>
            </w:r>
          </w:p>
        </w:tc>
        <w:tc>
          <w:tcPr>
            <w:tcW w:w="0" w:type="dxa"/>
            <w:vAlign w:val="bottom"/>
          </w:tcPr>
          <w:p>
            <w:pPr>
              <w:spacing w:after="0"/>
              <w:rPr>
                <w:sz w:val="1"/>
                <w:szCs w:val="1"/>
                <w:color w:val="auto"/>
              </w:rPr>
            </w:pPr>
          </w:p>
        </w:tc>
      </w:tr>
      <w:tr>
        <w:trPr>
          <w:trHeight w:val="147"/>
        </w:trPr>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growth.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(Decrease) (1)</w:t>
            </w:r>
          </w:p>
        </w:tc>
        <w:tc>
          <w:tcPr>
            <w:tcW w:w="960" w:type="dxa"/>
            <w:vAlign w:val="bottom"/>
            <w:gridSpan w:val="2"/>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0" w:type="dxa"/>
            <w:vAlign w:val="bottom"/>
          </w:tcPr>
          <w:p>
            <w:pPr>
              <w:spacing w:after="0"/>
              <w:rPr>
                <w:sz w:val="9"/>
                <w:szCs w:val="9"/>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700" w:type="dxa"/>
            <w:vAlign w:val="bottom"/>
            <w:vMerge w:val="restart"/>
          </w:tcPr>
          <w:p>
            <w:pPr>
              <w:ind w:left="228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5"/>
        </w:trPr>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5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8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1"/>
                <w:szCs w:val="11"/>
                <w:color w:val="auto"/>
                <w:w w:val="99"/>
              </w:rPr>
              <w:t>TCOS</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1"/>
                <w:szCs w:val="11"/>
                <w:color w:val="auto"/>
              </w:rPr>
              <w:t>February 2026</w:t>
            </w:r>
          </w:p>
        </w:tc>
        <w:tc>
          <w:tcPr>
            <w:tcW w:w="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1"/>
                <w:szCs w:val="11"/>
                <w:color w:val="auto"/>
                <w:w w:val="99"/>
              </w:rPr>
              <w:t>TBD</w:t>
            </w: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1"/>
                <w:szCs w:val="11"/>
                <w:color w:val="auto"/>
              </w:rPr>
              <w:t>TBD</w:t>
            </w:r>
          </w:p>
        </w:tc>
        <w:tc>
          <w:tcPr>
            <w:tcW w:w="80" w:type="dxa"/>
            <w:vAlign w:val="bottom"/>
            <w:tcBorders>
              <w:top w:val="single" w:sz="8" w:color="CCEEFF"/>
            </w:tcBorders>
            <w:shd w:val="clear" w:color="auto" w:fill="CCEEFF"/>
          </w:tcPr>
          <w:p>
            <w:pPr>
              <w:spacing w:after="0"/>
              <w:rPr>
                <w:sz w:val="9"/>
                <w:szCs w:val="9"/>
                <w:color w:val="auto"/>
              </w:rPr>
            </w:pPr>
          </w:p>
        </w:tc>
        <w:tc>
          <w:tcPr>
            <w:tcW w:w="5700" w:type="dxa"/>
            <w:vAlign w:val="bottom"/>
            <w:tcBorders>
              <w:top w:val="single" w:sz="8" w:color="auto"/>
            </w:tcBorders>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TCOS proceeding of approximately $212 million for the period of</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July 1, 2025 through December 31, 2025, along with the inclusion of regulatory assets of approximately $10 million</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comprising certain system restoration operations and maintenance expenses and carrying costs associated with the May 2024</w:t>
            </w:r>
          </w:p>
        </w:tc>
        <w:tc>
          <w:tcPr>
            <w:tcW w:w="0" w:type="dxa"/>
            <w:vAlign w:val="bottom"/>
          </w:tcPr>
          <w:p>
            <w:pPr>
              <w:spacing w:after="0"/>
              <w:rPr>
                <w:sz w:val="1"/>
                <w:szCs w:val="1"/>
                <w:color w:val="auto"/>
              </w:rPr>
            </w:pPr>
          </w:p>
        </w:tc>
      </w:tr>
      <w:tr>
        <w:trPr>
          <w:trHeight w:val="166"/>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Storm Events and Hurricane Beryl.</w:t>
            </w:r>
          </w:p>
        </w:tc>
        <w:tc>
          <w:tcPr>
            <w:tcW w:w="0" w:type="dxa"/>
            <w:vAlign w:val="bottom"/>
          </w:tcPr>
          <w:p>
            <w:pPr>
              <w:spacing w:after="0"/>
              <w:rPr>
                <w:sz w:val="1"/>
                <w:szCs w:val="1"/>
                <w:color w:val="auto"/>
              </w:rPr>
            </w:pPr>
          </w:p>
        </w:tc>
      </w:tr>
      <w:tr>
        <w:trPr>
          <w:trHeight w:val="154"/>
        </w:trPr>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0" w:type="dxa"/>
            <w:vAlign w:val="bottom"/>
            <w:tcBorders>
              <w:bottom w:val="single" w:sz="8" w:color="auto"/>
            </w:tcBorders>
            <w:gridSpan w:val="7"/>
          </w:tcPr>
          <w:p>
            <w:pPr>
              <w:jc w:val="center"/>
              <w:ind w:right="2243"/>
              <w:spacing w:after="0"/>
              <w:rPr>
                <w:sz w:val="20"/>
                <w:szCs w:val="20"/>
                <w:color w:val="auto"/>
              </w:rPr>
            </w:pPr>
            <w:r>
              <w:rPr>
                <w:rFonts w:ascii="Times New Roman" w:cs="Times New Roman" w:eastAsia="Times New Roman" w:hAnsi="Times New Roman"/>
                <w:sz w:val="11"/>
                <w:szCs w:val="11"/>
                <w:b w:val="1"/>
                <w:bCs w:val="1"/>
                <w:color w:val="auto"/>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06"/>
        </w:trPr>
        <w:tc>
          <w:tcPr>
            <w:tcW w:w="1160" w:type="dxa"/>
            <w:vAlign w:val="bottom"/>
            <w:gridSpan w:val="2"/>
            <w:shd w:val="clear" w:color="auto" w:fill="CCEEFF"/>
          </w:tcPr>
          <w:p>
            <w:pPr>
              <w:jc w:val="center"/>
              <w:ind w:right="80"/>
              <w:spacing w:after="0" w:line="106" w:lineRule="exact"/>
              <w:rPr>
                <w:sz w:val="20"/>
                <w:szCs w:val="20"/>
                <w:color w:val="auto"/>
              </w:rPr>
            </w:pPr>
            <w:r>
              <w:rPr>
                <w:rFonts w:ascii="Times New Roman" w:cs="Times New Roman" w:eastAsia="Times New Roman" w:hAnsi="Times New Roman"/>
                <w:sz w:val="11"/>
                <w:szCs w:val="11"/>
                <w:color w:val="auto"/>
              </w:rPr>
              <w:t>Tax Act Rider</w:t>
            </w:r>
          </w:p>
        </w:tc>
        <w:tc>
          <w:tcPr>
            <w:tcW w:w="1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August 2024</w:t>
            </w:r>
          </w:p>
        </w:tc>
        <w:tc>
          <w:tcPr>
            <w:tcW w:w="88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color w:val="auto"/>
              </w:rPr>
              <w:t>June 2025</w:t>
            </w: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May 2025</w:t>
            </w:r>
          </w:p>
        </w:tc>
        <w:tc>
          <w:tcPr>
            <w:tcW w:w="570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Resulting from the Texas Gas Rate Case, the first Tax Act Rider Calculation was filed on August 1, 2024 pursuant to Docket</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No. OS-23-00015513 to recover the effects of the IRA and certain other tax-related costs for rates that became effective</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January 1, 2025. These effects include the return on the CAMT deferred tax asset (“DTA”) resulting from the IRA, income</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7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tax credits resulting from the IRA and the return on the increment or decrement in the net operating loss DTA included in the</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rate base and in the standard service base revenue requirement approved in the Texas Gas Rate Case. CERC believes its</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filing is consistent with the Tax Act Rider tariff approved in Docket No. OS-23-00015513. On October 1, 2024, certain</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7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parties filed comments disputing the application. Briefings were filed with an ALJ in November 2024. A hearing on the</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merits was held on February 21, 2025 and continued on March 21, 2025. On March 21, 2025, a unanimous settlement</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agreement was filed. On April 11, 2025, a PFD was issued. On May 13, 2025, the Railroad Commission considered the PFD</w:t>
            </w:r>
          </w:p>
        </w:tc>
        <w:tc>
          <w:tcPr>
            <w:tcW w:w="0" w:type="dxa"/>
            <w:vAlign w:val="bottom"/>
          </w:tcPr>
          <w:p>
            <w:pPr>
              <w:spacing w:after="0"/>
              <w:rPr>
                <w:sz w:val="1"/>
                <w:szCs w:val="1"/>
                <w:color w:val="auto"/>
              </w:rPr>
            </w:pPr>
          </w:p>
        </w:tc>
      </w:tr>
      <w:tr>
        <w:trPr>
          <w:trHeight w:val="166"/>
        </w:trPr>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an open meeting and issued a Final Order approving the settlement agreement.</w:t>
            </w:r>
          </w:p>
        </w:tc>
        <w:tc>
          <w:tcPr>
            <w:tcW w:w="0" w:type="dxa"/>
            <w:vAlign w:val="bottom"/>
          </w:tcPr>
          <w:p>
            <w:pPr>
              <w:spacing w:after="0"/>
              <w:rPr>
                <w:sz w:val="1"/>
                <w:szCs w:val="1"/>
                <w:color w:val="auto"/>
              </w:rPr>
            </w:pPr>
          </w:p>
        </w:tc>
      </w:tr>
      <w:tr>
        <w:trPr>
          <w:trHeight w:val="110"/>
        </w:trPr>
        <w:tc>
          <w:tcPr>
            <w:tcW w:w="116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1"/>
                <w:szCs w:val="11"/>
                <w:color w:val="auto"/>
              </w:rPr>
              <w:t>Tax Act Rider</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9"/>
                <w:szCs w:val="9"/>
                <w:color w:val="auto"/>
              </w:rPr>
            </w:pPr>
          </w:p>
        </w:tc>
        <w:tc>
          <w:tcPr>
            <w:tcW w:w="96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color w:val="auto"/>
              </w:rPr>
              <w:t>August 2025</w:t>
            </w:r>
          </w:p>
        </w:tc>
        <w:tc>
          <w:tcPr>
            <w:tcW w:w="8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January 2026</w:t>
            </w:r>
          </w:p>
        </w:tc>
        <w:tc>
          <w:tcPr>
            <w:tcW w:w="100" w:type="dxa"/>
            <w:vAlign w:val="bottom"/>
          </w:tcPr>
          <w:p>
            <w:pPr>
              <w:spacing w:after="0"/>
              <w:rPr>
                <w:sz w:val="9"/>
                <w:szCs w:val="9"/>
                <w:color w:val="auto"/>
              </w:rPr>
            </w:pPr>
          </w:p>
        </w:tc>
        <w:tc>
          <w:tcPr>
            <w:tcW w:w="96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color w:val="auto"/>
              </w:rPr>
              <w:t>October 2025</w:t>
            </w:r>
          </w:p>
        </w:tc>
        <w:tc>
          <w:tcPr>
            <w:tcW w:w="57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The second Tax Act Rider was initially filed on August 1, 2025, and a revised filing was made on September 24, 2025, to</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recover the effects of the IRA and certain other tax-related costs for rates that would be effective for bills calculated on or</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after January 1, 2026. These effects include the return on the CAMT DTA resulting from the IRA, income tax credits</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7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resulting from the IRA and the return on the increment or decrement in the net operating loss DTA included in the rate base</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and in the standard service base revenue requirement approved in the Texas Gas Rate Case Docket No. OS-23-00015513.</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No comments from the parties were filed prior to the October 1, 2025 deadline for comments. The Railroad Commission</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accepted the Tax Act Rider filing on October 16, 2025.</w:t>
            </w:r>
          </w:p>
        </w:tc>
        <w:tc>
          <w:tcPr>
            <w:tcW w:w="0" w:type="dxa"/>
            <w:vAlign w:val="bottom"/>
          </w:tcPr>
          <w:p>
            <w:pPr>
              <w:spacing w:after="0"/>
              <w:rPr>
                <w:sz w:val="1"/>
                <w:szCs w:val="1"/>
                <w:color w:val="auto"/>
              </w:rPr>
            </w:pPr>
          </w:p>
        </w:tc>
      </w:tr>
      <w:tr>
        <w:trPr>
          <w:trHeight w:val="169"/>
        </w:trPr>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GRIP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February 2025</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June 2025</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May 2025</w:t>
            </w: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Based on net change in invested capital of $445 million.</w:t>
            </w:r>
          </w:p>
        </w:tc>
        <w:tc>
          <w:tcPr>
            <w:tcW w:w="0" w:type="dxa"/>
            <w:vAlign w:val="bottom"/>
          </w:tcPr>
          <w:p>
            <w:pPr>
              <w:spacing w:after="0"/>
              <w:rPr>
                <w:sz w:val="1"/>
                <w:szCs w:val="1"/>
                <w:color w:val="auto"/>
              </w:rPr>
            </w:pPr>
          </w:p>
        </w:tc>
      </w:tr>
      <w:tr>
        <w:trPr>
          <w:trHeight w:val="153"/>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GRIP</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February 2026</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TBD</w:t>
            </w:r>
          </w:p>
        </w:tc>
        <w:tc>
          <w:tcPr>
            <w:tcW w:w="10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TBD</w:t>
            </w:r>
          </w:p>
        </w:tc>
        <w:tc>
          <w:tcPr>
            <w:tcW w:w="5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Based on net change in invested capital of $394 million.</w:t>
            </w:r>
          </w:p>
        </w:tc>
        <w:tc>
          <w:tcPr>
            <w:tcW w:w="0" w:type="dxa"/>
            <w:vAlign w:val="bottom"/>
          </w:tcPr>
          <w:p>
            <w:pPr>
              <w:spacing w:after="0"/>
              <w:rPr>
                <w:sz w:val="1"/>
                <w:szCs w:val="1"/>
                <w:color w:val="auto"/>
              </w:rPr>
            </w:pPr>
          </w:p>
        </w:tc>
      </w:tr>
      <w:tr>
        <w:trPr>
          <w:trHeight w:val="160"/>
        </w:trPr>
        <w:tc>
          <w:tcPr>
            <w:tcW w:w="10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760" w:type="dxa"/>
            <w:vAlign w:val="bottom"/>
            <w:tcBorders>
              <w:bottom w:val="single" w:sz="8" w:color="auto"/>
            </w:tcBorders>
            <w:gridSpan w:val="4"/>
            <w:shd w:val="clear" w:color="auto" w:fill="CCEEFF"/>
          </w:tcPr>
          <w:p>
            <w:pPr>
              <w:jc w:val="center"/>
              <w:ind w:right="4083"/>
              <w:spacing w:after="0"/>
              <w:rPr>
                <w:sz w:val="20"/>
                <w:szCs w:val="20"/>
                <w:color w:val="auto"/>
              </w:rPr>
            </w:pPr>
            <w:r>
              <w:rPr>
                <w:rFonts w:ascii="Times New Roman" w:cs="Times New Roman" w:eastAsia="Times New Roman" w:hAnsi="Times New Roman"/>
                <w:sz w:val="11"/>
                <w:szCs w:val="11"/>
                <w:b w:val="1"/>
                <w:bCs w:val="1"/>
                <w:color w:val="auto"/>
              </w:rPr>
              <w:t>CenterPoint Energy and CERC - Minnesota (MPUC)</w:t>
            </w:r>
          </w:p>
        </w:tc>
        <w:tc>
          <w:tcPr>
            <w:tcW w:w="0" w:type="dxa"/>
            <w:vAlign w:val="bottom"/>
          </w:tcPr>
          <w:p>
            <w:pPr>
              <w:spacing w:after="0"/>
              <w:rPr>
                <w:sz w:val="1"/>
                <w:szCs w:val="1"/>
                <w:color w:val="auto"/>
              </w:rPr>
            </w:pPr>
          </w:p>
        </w:tc>
      </w:tr>
      <w:tr>
        <w:trPr>
          <w:trHeight w:val="15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Rate Case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November 2023</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September 2025</w:t>
            </w:r>
          </w:p>
        </w:tc>
        <w:tc>
          <w:tcPr>
            <w:tcW w:w="10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July 2025</w:t>
            </w:r>
          </w:p>
        </w:tc>
        <w:tc>
          <w:tcPr>
            <w:tcW w:w="5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Minnesota Gas Rate Case.</w:t>
            </w:r>
          </w:p>
        </w:tc>
        <w:tc>
          <w:tcPr>
            <w:tcW w:w="0" w:type="dxa"/>
            <w:vAlign w:val="bottom"/>
          </w:tcPr>
          <w:p>
            <w:pPr>
              <w:spacing w:after="0"/>
              <w:rPr>
                <w:sz w:val="1"/>
                <w:szCs w:val="1"/>
                <w:color w:val="auto"/>
              </w:rPr>
            </w:pPr>
          </w:p>
        </w:tc>
      </w:tr>
      <w:tr>
        <w:trPr>
          <w:trHeight w:val="115"/>
        </w:trPr>
        <w:tc>
          <w:tcPr>
            <w:tcW w:w="1160" w:type="dxa"/>
            <w:vAlign w:val="bottom"/>
            <w:gridSpan w:val="2"/>
            <w:shd w:val="clear" w:color="auto" w:fill="CCEEFF"/>
          </w:tcPr>
          <w:p>
            <w:pPr>
              <w:jc w:val="center"/>
              <w:ind w:right="100"/>
              <w:spacing w:after="0" w:line="115" w:lineRule="exact"/>
              <w:rPr>
                <w:sz w:val="20"/>
                <w:szCs w:val="20"/>
                <w:color w:val="auto"/>
              </w:rPr>
            </w:pPr>
            <w:r>
              <w:rPr>
                <w:rFonts w:ascii="Times New Roman" w:cs="Times New Roman" w:eastAsia="Times New Roman" w:hAnsi="Times New Roman"/>
                <w:sz w:val="11"/>
                <w:szCs w:val="11"/>
                <w:color w:val="auto"/>
              </w:rPr>
              <w:t>CIP Financial</w:t>
            </w:r>
          </w:p>
        </w:tc>
        <w:tc>
          <w:tcPr>
            <w:tcW w:w="1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center"/>
              <w:ind w:right="100"/>
              <w:spacing w:after="0" w:line="115" w:lineRule="exact"/>
              <w:rPr>
                <w:sz w:val="20"/>
                <w:szCs w:val="20"/>
                <w:color w:val="auto"/>
              </w:rPr>
            </w:pPr>
            <w:r>
              <w:rPr>
                <w:rFonts w:ascii="Times New Roman" w:cs="Times New Roman" w:eastAsia="Times New Roman" w:hAnsi="Times New Roman"/>
                <w:sz w:val="11"/>
                <w:szCs w:val="11"/>
                <w:color w:val="auto"/>
              </w:rPr>
              <w:t>May 2025</w:t>
            </w:r>
          </w:p>
        </w:tc>
        <w:tc>
          <w:tcPr>
            <w:tcW w:w="880" w:type="dxa"/>
            <w:vAlign w:val="bottom"/>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color w:val="auto"/>
              </w:rPr>
              <w:t>December 2025</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center"/>
              <w:ind w:right="80"/>
              <w:spacing w:after="0" w:line="115" w:lineRule="exact"/>
              <w:rPr>
                <w:sz w:val="20"/>
                <w:szCs w:val="20"/>
                <w:color w:val="auto"/>
              </w:rPr>
            </w:pPr>
            <w:r>
              <w:rPr>
                <w:rFonts w:ascii="Times New Roman" w:cs="Times New Roman" w:eastAsia="Times New Roman" w:hAnsi="Times New Roman"/>
                <w:sz w:val="11"/>
                <w:szCs w:val="11"/>
                <w:color w:val="auto"/>
              </w:rPr>
              <w:t>November 2025</w:t>
            </w:r>
          </w:p>
        </w:tc>
        <w:tc>
          <w:tcPr>
            <w:tcW w:w="57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CIP Financial Incentive based on 2024 CIP program activity.</w:t>
            </w:r>
          </w:p>
        </w:tc>
        <w:tc>
          <w:tcPr>
            <w:tcW w:w="0" w:type="dxa"/>
            <w:vAlign w:val="bottom"/>
          </w:tcPr>
          <w:p>
            <w:pPr>
              <w:spacing w:after="0"/>
              <w:rPr>
                <w:sz w:val="1"/>
                <w:szCs w:val="1"/>
                <w:color w:val="auto"/>
              </w:rPr>
            </w:pPr>
          </w:p>
        </w:tc>
      </w:tr>
      <w:tr>
        <w:trPr>
          <w:trHeight w:val="155"/>
        </w:trPr>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Incentive</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60" w:type="dxa"/>
            <w:vAlign w:val="bottom"/>
            <w:tcBorders>
              <w:bottom w:val="single" w:sz="8" w:color="auto"/>
            </w:tcBorders>
            <w:gridSpan w:val="3"/>
          </w:tcPr>
          <w:p>
            <w:pPr>
              <w:jc w:val="center"/>
              <w:ind w:right="4163"/>
              <w:spacing w:after="0"/>
              <w:rPr>
                <w:sz w:val="20"/>
                <w:szCs w:val="20"/>
                <w:color w:val="auto"/>
              </w:rPr>
            </w:pPr>
            <w:r>
              <w:rPr>
                <w:rFonts w:ascii="Times New Roman" w:cs="Times New Roman" w:eastAsia="Times New Roman" w:hAnsi="Times New Roman"/>
                <w:sz w:val="11"/>
                <w:szCs w:val="11"/>
                <w:b w:val="1"/>
                <w:bCs w:val="1"/>
                <w:color w:val="auto"/>
              </w:rPr>
              <w:t>CenterPoint Energy - Indiana South - Gas (IURC)</w:t>
            </w:r>
          </w:p>
        </w:tc>
        <w:tc>
          <w:tcPr>
            <w:tcW w:w="0" w:type="dxa"/>
            <w:vAlign w:val="bottom"/>
          </w:tcPr>
          <w:p>
            <w:pPr>
              <w:spacing w:after="0"/>
              <w:rPr>
                <w:sz w:val="1"/>
                <w:szCs w:val="1"/>
                <w:color w:val="auto"/>
              </w:rPr>
            </w:pPr>
          </w:p>
        </w:tc>
      </w:tr>
      <w:tr>
        <w:trPr>
          <w:trHeight w:val="106"/>
        </w:trPr>
        <w:tc>
          <w:tcPr>
            <w:tcW w:w="1160" w:type="dxa"/>
            <w:vAlign w:val="bottom"/>
            <w:gridSpan w:val="2"/>
            <w:shd w:val="clear" w:color="auto" w:fill="CCEEFF"/>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CSIA</w:t>
            </w:r>
          </w:p>
        </w:tc>
        <w:tc>
          <w:tcPr>
            <w:tcW w:w="1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April 2025</w:t>
            </w:r>
          </w:p>
        </w:tc>
        <w:tc>
          <w:tcPr>
            <w:tcW w:w="88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color w:val="auto"/>
              </w:rPr>
              <w:t>August 2025</w:t>
            </w: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80"/>
              <w:spacing w:after="0" w:line="106" w:lineRule="exact"/>
              <w:rPr>
                <w:sz w:val="20"/>
                <w:szCs w:val="20"/>
                <w:color w:val="auto"/>
              </w:rPr>
            </w:pPr>
            <w:r>
              <w:rPr>
                <w:rFonts w:ascii="Times New Roman" w:cs="Times New Roman" w:eastAsia="Times New Roman" w:hAnsi="Times New Roman"/>
                <w:sz w:val="11"/>
                <w:szCs w:val="11"/>
                <w:color w:val="auto"/>
              </w:rPr>
              <w:t>July 2025</w:t>
            </w:r>
          </w:p>
        </w:tc>
        <w:tc>
          <w:tcPr>
            <w:tcW w:w="570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Requested an increase of $11.6 million to rate base, which reflects an approximately $1.5 million annual increase in current</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includes a change in (over)/under recovery variance of $1.9 million. The OUCC filed testimony on June 3, 2025,</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7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recommending minor changes. Indiana South filed a rebuttal on June 17, 2025, adopting the changes. The evidentiary</w:t>
            </w:r>
          </w:p>
        </w:tc>
        <w:tc>
          <w:tcPr>
            <w:tcW w:w="0" w:type="dxa"/>
            <w:vAlign w:val="bottom"/>
          </w:tcPr>
          <w:p>
            <w:pPr>
              <w:spacing w:after="0"/>
              <w:rPr>
                <w:sz w:val="1"/>
                <w:szCs w:val="1"/>
                <w:color w:val="auto"/>
              </w:rPr>
            </w:pPr>
          </w:p>
        </w:tc>
      </w:tr>
      <w:tr>
        <w:trPr>
          <w:trHeight w:val="155"/>
        </w:trPr>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hearing was held on June 30, 2025. A final order was issued on July 30, 2025, with rates effective August 1, 2025.</w:t>
            </w:r>
          </w:p>
        </w:tc>
        <w:tc>
          <w:tcPr>
            <w:tcW w:w="0" w:type="dxa"/>
            <w:vAlign w:val="bottom"/>
          </w:tcPr>
          <w:p>
            <w:pPr>
              <w:spacing w:after="0"/>
              <w:rPr>
                <w:sz w:val="1"/>
                <w:szCs w:val="1"/>
                <w:color w:val="auto"/>
              </w:rPr>
            </w:pPr>
          </w:p>
        </w:tc>
      </w:tr>
      <w:tr>
        <w:trPr>
          <w:trHeight w:val="110"/>
        </w:trPr>
        <w:tc>
          <w:tcPr>
            <w:tcW w:w="116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color w:val="auto"/>
              </w:rPr>
              <w:t>CSIA</w:t>
            </w: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96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color w:val="auto"/>
              </w:rPr>
              <w:t>October 2025</w:t>
            </w:r>
          </w:p>
        </w:tc>
        <w:tc>
          <w:tcPr>
            <w:tcW w:w="8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February 2026</w:t>
            </w:r>
          </w:p>
        </w:tc>
        <w:tc>
          <w:tcPr>
            <w:tcW w:w="100" w:type="dxa"/>
            <w:vAlign w:val="bottom"/>
          </w:tcPr>
          <w:p>
            <w:pPr>
              <w:spacing w:after="0"/>
              <w:rPr>
                <w:sz w:val="9"/>
                <w:szCs w:val="9"/>
                <w:color w:val="auto"/>
              </w:rPr>
            </w:pPr>
          </w:p>
        </w:tc>
        <w:tc>
          <w:tcPr>
            <w:tcW w:w="960" w:type="dxa"/>
            <w:vAlign w:val="bottom"/>
            <w:gridSpan w:val="2"/>
          </w:tcPr>
          <w:p>
            <w:pPr>
              <w:jc w:val="center"/>
              <w:ind w:right="80"/>
              <w:spacing w:after="0" w:line="110" w:lineRule="exact"/>
              <w:rPr>
                <w:sz w:val="20"/>
                <w:szCs w:val="20"/>
                <w:color w:val="auto"/>
              </w:rPr>
            </w:pPr>
            <w:r>
              <w:rPr>
                <w:rFonts w:ascii="Times New Roman" w:cs="Times New Roman" w:eastAsia="Times New Roman" w:hAnsi="Times New Roman"/>
                <w:sz w:val="11"/>
                <w:szCs w:val="11"/>
                <w:color w:val="auto"/>
              </w:rPr>
              <w:t>January 2026</w:t>
            </w:r>
          </w:p>
        </w:tc>
        <w:tc>
          <w:tcPr>
            <w:tcW w:w="57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Requested an increase of $13.0 million to rate base, which reflects an approximately $1.2 million annual increase in current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includes a change in (over)/under recovery variance of $(2.1) million. The OUCC filed testimony on December 2, 2025,</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7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recommending minor changes, and Indiana South filed rebuttal on December 16, 2025. An evidentiary hearing was held</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January 6, 2026. A final order was issued on January 28, 2026 with rates effective on February 1, 2026.</w:t>
            </w:r>
          </w:p>
        </w:tc>
        <w:tc>
          <w:tcPr>
            <w:tcW w:w="0" w:type="dxa"/>
            <w:vAlign w:val="bottom"/>
          </w:tcPr>
          <w:p>
            <w:pPr>
              <w:spacing w:after="0"/>
              <w:rPr>
                <w:sz w:val="1"/>
                <w:szCs w:val="1"/>
                <w:color w:val="auto"/>
              </w:rPr>
            </w:pPr>
          </w:p>
        </w:tc>
      </w:tr>
      <w:tr>
        <w:trPr>
          <w:trHeight w:val="158"/>
        </w:trPr>
        <w:tc>
          <w:tcPr>
            <w:tcW w:w="10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40" w:type="dxa"/>
            <w:vAlign w:val="bottom"/>
            <w:tcBorders>
              <w:bottom w:val="single" w:sz="8" w:color="auto"/>
            </w:tcBorders>
            <w:gridSpan w:val="5"/>
            <w:shd w:val="clear" w:color="auto" w:fill="CCEEFF"/>
          </w:tcPr>
          <w:p>
            <w:pPr>
              <w:jc w:val="center"/>
              <w:ind w:right="3183"/>
              <w:spacing w:after="0"/>
              <w:rPr>
                <w:sz w:val="20"/>
                <w:szCs w:val="20"/>
                <w:color w:val="auto"/>
              </w:rPr>
            </w:pPr>
            <w:r>
              <w:rPr>
                <w:rFonts w:ascii="Times New Roman" w:cs="Times New Roman" w:eastAsia="Times New Roman" w:hAnsi="Times New Roman"/>
                <w:sz w:val="11"/>
                <w:szCs w:val="11"/>
                <w:b w:val="1"/>
                <w:bCs w:val="1"/>
                <w:color w:val="auto"/>
              </w:rPr>
              <w:t>CenterPoint Energy and CERC - Indiana North - Gas (IURC)</w:t>
            </w:r>
          </w:p>
        </w:tc>
        <w:tc>
          <w:tcPr>
            <w:tcW w:w="0" w:type="dxa"/>
            <w:vAlign w:val="bottom"/>
          </w:tcPr>
          <w:p>
            <w:pPr>
              <w:spacing w:after="0"/>
              <w:rPr>
                <w:sz w:val="1"/>
                <w:szCs w:val="1"/>
                <w:color w:val="auto"/>
              </w:rPr>
            </w:pPr>
          </w:p>
        </w:tc>
      </w:tr>
      <w:tr>
        <w:trPr>
          <w:trHeight w:val="106"/>
        </w:trPr>
        <w:tc>
          <w:tcPr>
            <w:tcW w:w="11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CSIA</w:t>
            </w: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9"/>
                <w:szCs w:val="9"/>
                <w:color w:val="auto"/>
              </w:rPr>
            </w:pPr>
          </w:p>
        </w:tc>
        <w:tc>
          <w:tcPr>
            <w:tcW w:w="9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April 2025</w:t>
            </w:r>
          </w:p>
        </w:tc>
        <w:tc>
          <w:tcPr>
            <w:tcW w:w="8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August 2025</w:t>
            </w:r>
          </w:p>
        </w:tc>
        <w:tc>
          <w:tcPr>
            <w:tcW w:w="100" w:type="dxa"/>
            <w:vAlign w:val="bottom"/>
          </w:tcPr>
          <w:p>
            <w:pPr>
              <w:spacing w:after="0"/>
              <w:rPr>
                <w:sz w:val="9"/>
                <w:szCs w:val="9"/>
                <w:color w:val="auto"/>
              </w:rPr>
            </w:pPr>
          </w:p>
        </w:tc>
        <w:tc>
          <w:tcPr>
            <w:tcW w:w="96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color w:val="auto"/>
              </w:rPr>
              <w:t>July 2025</w:t>
            </w:r>
          </w:p>
        </w:tc>
        <w:tc>
          <w:tcPr>
            <w:tcW w:w="570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Requested an increase of $94.9 million to rate base, which reflects an approximately $8.6 million annual increase in current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includes a change in (over)/under recovery variance of $5 million. The OUCC filed testimony on June 3, 2025. Indiana</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7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North filed rebuttal testimony on June 17, 2025. The evidentiary hearing was held on June 30, 2025. A final order was</w:t>
            </w: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issued on July 30, 2025, with rates effective August 1,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560" w:top="651" w:right="459" w:bottom="1440" w:gutter="0" w:footer="0" w:header="0"/>
        </w:sectPr>
      </w:pPr>
    </w:p>
    <w:bookmarkStart w:id="89" w:name="page90"/>
    <w:bookmarkEnd w:id="89"/>
    <w:tbl>
      <w:tblPr>
        <w:tblLayout w:type="fixed"/>
        <w:tblInd w:w="26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100" w:type="dxa"/>
            <w:vAlign w:val="bottom"/>
          </w:tcPr>
          <w:p>
            <w:pPr>
              <w:spacing w:after="0"/>
              <w:rPr>
                <w:sz w:val="9"/>
                <w:szCs w:val="9"/>
                <w:color w:val="auto"/>
              </w:rPr>
            </w:pPr>
          </w:p>
        </w:tc>
        <w:tc>
          <w:tcPr>
            <w:tcW w:w="10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(Decrease) (1)</w:t>
            </w:r>
          </w:p>
        </w:tc>
        <w:tc>
          <w:tcPr>
            <w:tcW w:w="960" w:type="dxa"/>
            <w:vAlign w:val="bottom"/>
            <w:gridSpan w:val="2"/>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0" w:type="dxa"/>
            <w:vAlign w:val="bottom"/>
          </w:tcPr>
          <w:p>
            <w:pPr>
              <w:spacing w:after="0"/>
              <w:rPr>
                <w:sz w:val="9"/>
                <w:szCs w:val="9"/>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700" w:type="dxa"/>
            <w:vAlign w:val="bottom"/>
            <w:vMerge w:val="restart"/>
          </w:tcPr>
          <w:p>
            <w:pPr>
              <w:ind w:left="228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5"/>
        </w:trPr>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Date</w:t>
            </w: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5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8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1"/>
                <w:szCs w:val="11"/>
                <w:color w:val="auto"/>
                <w:w w:val="95"/>
              </w:rPr>
              <w:t>CSIA</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ind w:right="3"/>
              <w:spacing w:after="0" w:line="105" w:lineRule="exact"/>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1"/>
                <w:szCs w:val="11"/>
                <w:color w:val="auto"/>
              </w:rPr>
              <w:t>October 2025</w:t>
            </w:r>
          </w:p>
        </w:tc>
        <w:tc>
          <w:tcPr>
            <w:tcW w:w="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1"/>
                <w:szCs w:val="11"/>
                <w:color w:val="auto"/>
              </w:rPr>
              <w:t>February 2026</w:t>
            </w: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1"/>
                <w:szCs w:val="11"/>
                <w:color w:val="auto"/>
              </w:rPr>
              <w:t>January 2026</w:t>
            </w:r>
          </w:p>
        </w:tc>
        <w:tc>
          <w:tcPr>
            <w:tcW w:w="80" w:type="dxa"/>
            <w:vAlign w:val="bottom"/>
            <w:tcBorders>
              <w:top w:val="single" w:sz="8" w:color="CCEEFF"/>
            </w:tcBorders>
            <w:shd w:val="clear" w:color="auto" w:fill="CCEEFF"/>
          </w:tcPr>
          <w:p>
            <w:pPr>
              <w:spacing w:after="0"/>
              <w:rPr>
                <w:sz w:val="9"/>
                <w:szCs w:val="9"/>
                <w:color w:val="auto"/>
              </w:rPr>
            </w:pPr>
          </w:p>
        </w:tc>
        <w:tc>
          <w:tcPr>
            <w:tcW w:w="5700" w:type="dxa"/>
            <w:vAlign w:val="bottom"/>
            <w:tcBorders>
              <w:top w:val="single" w:sz="8" w:color="auto"/>
            </w:tcBorders>
            <w:shd w:val="clear" w:color="auto" w:fill="CCEEFF"/>
          </w:tcPr>
          <w:p>
            <w:pPr>
              <w:ind w:left="20"/>
              <w:spacing w:after="0" w:line="105" w:lineRule="exact"/>
              <w:rPr>
                <w:sz w:val="20"/>
                <w:szCs w:val="20"/>
                <w:color w:val="auto"/>
              </w:rPr>
            </w:pPr>
            <w:r>
              <w:rPr>
                <w:rFonts w:ascii="Times New Roman" w:cs="Times New Roman" w:eastAsia="Times New Roman" w:hAnsi="Times New Roman"/>
                <w:sz w:val="11"/>
                <w:szCs w:val="11"/>
                <w:color w:val="auto"/>
              </w:rPr>
              <w:t>Requested an increase of $90.8 million to rate base, which reflects an approximately $7.6 million annual increase in current</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includes a change in (over)/under recovery variance of $(6.8) million. The OUCC filed testimony on December 2, 2025,</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7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recommending minor changes, and Indiana North filed rebuttal on December 16, 2025. An evidentiary hearing was held</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January 6, 2026. A final order was issued on January 28, 2026, with rates effective on February 1, 2026. On February 17,</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2026, the OUCC filed a motion for rehearing and reconsideration requesting the commission to reconsider its decision</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7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approving the recovery of soil remediation costs from ratepayers and reconsider the threshold for a best estimate for a</w:t>
            </w:r>
          </w:p>
        </w:tc>
        <w:tc>
          <w:tcPr>
            <w:tcW w:w="0" w:type="dxa"/>
            <w:vAlign w:val="bottom"/>
          </w:tcPr>
          <w:p>
            <w:pPr>
              <w:spacing w:after="0"/>
              <w:rPr>
                <w:sz w:val="1"/>
                <w:szCs w:val="1"/>
                <w:color w:val="auto"/>
              </w:rPr>
            </w:pPr>
          </w:p>
        </w:tc>
      </w:tr>
      <w:tr>
        <w:trPr>
          <w:trHeight w:val="155"/>
        </w:trPr>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TDSIC plan and the specific justification the commission will require to increase an approved best estimate.</w:t>
            </w:r>
          </w:p>
        </w:tc>
        <w:tc>
          <w:tcPr>
            <w:tcW w:w="0" w:type="dxa"/>
            <w:vAlign w:val="bottom"/>
          </w:tcPr>
          <w:p>
            <w:pPr>
              <w:spacing w:after="0"/>
              <w:rPr>
                <w:sz w:val="1"/>
                <w:szCs w:val="1"/>
                <w:color w:val="auto"/>
              </w:rPr>
            </w:pPr>
          </w:p>
        </w:tc>
      </w:tr>
      <w:tr>
        <w:trPr>
          <w:trHeight w:val="154"/>
        </w:trPr>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7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and CERC - Ohio - Gas (PUCO)</w:t>
            </w:r>
          </w:p>
        </w:tc>
        <w:tc>
          <w:tcPr>
            <w:tcW w:w="0" w:type="dxa"/>
            <w:vAlign w:val="bottom"/>
          </w:tcPr>
          <w:p>
            <w:pPr>
              <w:spacing w:after="0"/>
              <w:rPr>
                <w:sz w:val="1"/>
                <w:szCs w:val="1"/>
                <w:color w:val="auto"/>
              </w:rPr>
            </w:pPr>
          </w:p>
        </w:tc>
      </w:tr>
      <w:tr>
        <w:trPr>
          <w:trHeight w:val="106"/>
        </w:trPr>
        <w:tc>
          <w:tcPr>
            <w:tcW w:w="1160" w:type="dxa"/>
            <w:vAlign w:val="bottom"/>
            <w:gridSpan w:val="2"/>
            <w:shd w:val="clear" w:color="auto" w:fill="CCEEFF"/>
          </w:tcPr>
          <w:p>
            <w:pPr>
              <w:jc w:val="center"/>
              <w:ind w:right="80"/>
              <w:spacing w:after="0" w:line="106" w:lineRule="exact"/>
              <w:rPr>
                <w:sz w:val="20"/>
                <w:szCs w:val="20"/>
                <w:color w:val="auto"/>
              </w:rPr>
            </w:pPr>
            <w:r>
              <w:rPr>
                <w:rFonts w:ascii="Times New Roman" w:cs="Times New Roman" w:eastAsia="Times New Roman" w:hAnsi="Times New Roman"/>
                <w:sz w:val="11"/>
                <w:szCs w:val="11"/>
                <w:color w:val="auto"/>
              </w:rPr>
              <w:t>DRR</w:t>
            </w:r>
          </w:p>
        </w:tc>
        <w:tc>
          <w:tcPr>
            <w:tcW w:w="1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line="106" w:lineRule="exact"/>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80"/>
              <w:spacing w:after="0" w:line="106" w:lineRule="exact"/>
              <w:rPr>
                <w:sz w:val="20"/>
                <w:szCs w:val="20"/>
                <w:color w:val="auto"/>
              </w:rPr>
            </w:pPr>
            <w:r>
              <w:rPr>
                <w:rFonts w:ascii="Times New Roman" w:cs="Times New Roman" w:eastAsia="Times New Roman" w:hAnsi="Times New Roman"/>
                <w:sz w:val="11"/>
                <w:szCs w:val="11"/>
                <w:color w:val="auto"/>
                <w:w w:val="98"/>
              </w:rPr>
              <w:t>May</w:t>
            </w:r>
          </w:p>
        </w:tc>
        <w:tc>
          <w:tcPr>
            <w:tcW w:w="88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color w:val="auto"/>
              </w:rPr>
              <w:t>September 2025</w:t>
            </w:r>
          </w:p>
        </w:tc>
        <w:tc>
          <w:tcPr>
            <w:tcW w:w="10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August 2025</w:t>
            </w:r>
          </w:p>
        </w:tc>
        <w:tc>
          <w:tcPr>
            <w:tcW w:w="570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Requested an increase of $54 million to rate base for investments made in 2024, which reflects a $6 million annual increase</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2025</w:t>
            </w: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in current revenues. A change in (over)/under-recovery variance of ($0.03) million annually is also included in rates. PUCO</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staff and intervenor (Ohio Consumers’ Counsel) filed comments June 27, 2025. PUCO staff recommended approval. Ohio</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7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Consumers’ Counsel commented on affordability and provided potential solutions including stretching out the replacement</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program over a longer period of time, phasing in the annual increase, shifting from fixed charges to volumetric charges, and</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increasing funding for its bill assistance programs. A statement informing the PUCO of whether the issues raised in</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7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comments have been resolved was filed on July 11, 2025. Supplemental Testimony from CEOH and the Ohio Consumers’</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Counsel was filed on July 22, 2025. A hearing was scheduled for July 29, 2025, with all parties waiving motions to strike,</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7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objections, and cross examination. A final PUCO opinion and order was issued on August 20, 2025, finding that the updated</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7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DRR rates are just and reasonable and stating that the correct forum for the Ohio Consumers’ Counsel’s arguments was the</w:t>
            </w:r>
          </w:p>
        </w:tc>
        <w:tc>
          <w:tcPr>
            <w:tcW w:w="0" w:type="dxa"/>
            <w:vAlign w:val="bottom"/>
          </w:tcPr>
          <w:p>
            <w:pPr>
              <w:spacing w:after="0"/>
              <w:rPr>
                <w:sz w:val="1"/>
                <w:szCs w:val="1"/>
                <w:color w:val="auto"/>
              </w:rPr>
            </w:pPr>
          </w:p>
        </w:tc>
      </w:tr>
      <w:tr>
        <w:trPr>
          <w:trHeight w:val="155"/>
        </w:trPr>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2018 Rate Case, the 2022 Extension, or the 2024 Rate Case. Revised rates became effective on September 1, 2025.</w:t>
            </w:r>
          </w:p>
        </w:tc>
        <w:tc>
          <w:tcPr>
            <w:tcW w:w="0" w:type="dxa"/>
            <w:vAlign w:val="bottom"/>
          </w:tcPr>
          <w:p>
            <w:pPr>
              <w:spacing w:after="0"/>
              <w:rPr>
                <w:sz w:val="1"/>
                <w:szCs w:val="1"/>
                <w:color w:val="auto"/>
              </w:rPr>
            </w:pPr>
          </w:p>
        </w:tc>
      </w:tr>
      <w:tr>
        <w:trPr>
          <w:trHeight w:val="14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Rate Case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October 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January 2026</w:t>
            </w:r>
          </w:p>
        </w:tc>
        <w:tc>
          <w:tcPr>
            <w:tcW w:w="100" w:type="dxa"/>
            <w:vAlign w:val="bottom"/>
          </w:tcPr>
          <w:p>
            <w:pPr>
              <w:spacing w:after="0"/>
              <w:rPr>
                <w:sz w:val="12"/>
                <w:szCs w:val="12"/>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January 2026</w:t>
            </w:r>
          </w:p>
        </w:tc>
        <w:tc>
          <w:tcPr>
            <w:tcW w:w="5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Ohio Gas Rate Case.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Represents proposed increases (decreases) when effective date and/or approval date is not yet determined. Approved rates could differ materially from proposed rates.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GHG Emissions and Climate-Related Regulation and Compliance (CenterPoint Energy)</w:t>
      </w:r>
    </w:p>
    <w:p>
      <w:pPr>
        <w:spacing w:after="0" w:line="20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issue of climate change has received focus at the state, federal and international level, and there are trends and uncertainties relating to GHG emissions and climate-related regulations and compliance that affect the Registrants. Compliance costs and other effects associated with climate change, reductions in GHG emissions and obtaining renewable energy sources remain uncertain; nevertheless, any new regulation or legislation relating to climate change will likely result in an increase in compliance costs. CenterPoint Energy will continue to monitor regulatory activity regarding GHG emission standards that may affect its business. Currently, CenterPoint Energy does not purchase carbon credits. In connection with its energy transition goals, CenterPoint Energy is expected to purchase carbon credits in the future; however, CenterPoint Energy does not currently expect the number of credits, or cost for those credits, to be material. For more information on GHG emissions and climate-change regulation and compliance, see “Business—Environmental Matters” in Item 1 of Part I of this report. For more information on GHG emissions and climate-related risk trends and uncertainties, see “Risk Factors” in Item 1A of Part I of this report.</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Climate Risk Trends and Uncertainties</w:t>
      </w:r>
    </w:p>
    <w:p>
      <w:pPr>
        <w:spacing w:after="0" w:line="20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There are climate risk trends and uncertainties that affect the Registrants. Changes in the U.S. presidential administration and significant expected increases in electric demand, as announced by organizations such as ERCOT and MISO, have shifted the energy landscape in the United States. This shift in federal domestic energy policy has resulted in uncertainty with respect to the scope and speed of future renewable generation infrastructure development and the role that existing renewable generation will play in support of the U.S. energy grid. The long-term impacts of this domestic energy policy shift are also uncertain, including with respect to impacts on the development of, and consequently the availability of, alternative energy sources (such as solar energy, including private solar, wind energy, microturbines, fuel cells, energy-efficient buildings and energy storage devices). Additionally, it is unclear whether, and if so how, the new domestic energy policy, including the potential suspension, revision or rescission of regulations restricting emissions (including methane emissions) and the repeal of the Endangerment Finding, will affect consumers’ and companies’ energy use, adoption of alternative energy sources or decisions to expand their facilities, including natural gas facilities. For more information on climate risk trends and uncertainties, see “Risk Factors” in Item 1A of Part I of this report.</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164"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202"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12 to the consolidated financial statements.</w:t>
      </w:r>
    </w:p>
    <w:p>
      <w:pPr>
        <w:spacing w:after="0" w:line="157"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December 31, 2025. As of February 13, 2026, the Registrants had the following revolving credit facilities and utilization of such facilities: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3"/>
                <w:szCs w:val="13"/>
                <w:b w:val="1"/>
                <w:bCs w:val="1"/>
                <w:color w:val="auto"/>
              </w:rPr>
              <w:t>Amount Utilized as of February 13, 2026</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7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Size of Facility</w:t>
            </w:r>
          </w:p>
        </w:tc>
        <w:tc>
          <w:tcPr>
            <w:tcW w:w="260" w:type="dxa"/>
            <w:vAlign w:val="bottom"/>
          </w:tcPr>
          <w:p>
            <w:pPr>
              <w:spacing w:after="0"/>
              <w:rPr>
                <w:sz w:val="9"/>
                <w:szCs w:val="9"/>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Letters of Credit</w:t>
            </w:r>
          </w:p>
        </w:tc>
        <w:tc>
          <w:tcPr>
            <w:tcW w:w="80" w:type="dxa"/>
            <w:vAlign w:val="bottom"/>
          </w:tcPr>
          <w:p>
            <w:pPr>
              <w:spacing w:after="0"/>
              <w:rPr>
                <w:sz w:val="9"/>
                <w:szCs w:val="9"/>
                <w:color w:val="auto"/>
              </w:rPr>
            </w:pPr>
          </w:p>
        </w:tc>
        <w:tc>
          <w:tcPr>
            <w:tcW w:w="112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Commercial Paper</w:t>
            </w:r>
          </w:p>
        </w:tc>
        <w:tc>
          <w:tcPr>
            <w:tcW w:w="100" w:type="dxa"/>
            <w:vAlign w:val="bottom"/>
          </w:tcPr>
          <w:p>
            <w:pPr>
              <w:spacing w:after="0"/>
              <w:rPr>
                <w:sz w:val="9"/>
                <w:szCs w:val="9"/>
                <w:color w:val="auto"/>
              </w:rPr>
            </w:pPr>
          </w:p>
        </w:tc>
        <w:tc>
          <w:tcPr>
            <w:tcW w:w="1400" w:type="dxa"/>
            <w:vAlign w:val="bottom"/>
            <w:gridSpan w:val="2"/>
          </w:tcPr>
          <w:p>
            <w:pPr>
              <w:jc w:val="center"/>
              <w:ind w:right="100"/>
              <w:spacing w:after="0" w:line="112"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202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69"/>
        </w:trPr>
        <w:tc>
          <w:tcPr>
            <w:tcW w:w="2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4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w:t>
            </w:r>
          </w:p>
        </w:tc>
        <w:tc>
          <w:tcPr>
            <w:tcW w:w="20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72"/>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2"/>
              </w:rPr>
              <w:t>—%</w:t>
            </w:r>
          </w:p>
        </w:tc>
        <w:tc>
          <w:tcPr>
            <w:tcW w:w="2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4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Pr>
          <w:p>
            <w:pPr>
              <w:spacing w:after="0"/>
              <w:rPr>
                <w:sz w:val="14"/>
                <w:szCs w:val="14"/>
                <w:color w:val="auto"/>
              </w:rPr>
            </w:pPr>
          </w:p>
        </w:tc>
        <w:tc>
          <w:tcPr>
            <w:tcW w:w="20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88"/>
        </w:trPr>
        <w:tc>
          <w:tcPr>
            <w:tcW w:w="27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This credit facility was issued by SIGECO.</w:t>
      </w:r>
    </w:p>
    <w:p>
      <w:pPr>
        <w:spacing w:after="0" w:line="200"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SOFR and the commitment fees fluctuate based on the borrower’s credit rating. Each of the Registrant’s credit facilities provide for a mechanism to replace SOFR with possible alternative benchmarks upon certain benchmark replacement events. The Registrants and SIGECO are currently in compliance with the various business and financial covenants in the four revolving credit facilities.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Debt Transactions</w:t>
      </w:r>
    </w:p>
    <w:p>
      <w:pPr>
        <w:spacing w:after="0" w:line="20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For detailed information about the Registrants’ debt transactions in 2025, see Note 12 to the consolidated financial statements. For detailed information about the delay draw term loan agreement executed by CERC Corp. in 2026, see Note 20 to the consolidated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Securities Registered with the SEC</w:t>
      </w:r>
    </w:p>
    <w:p>
      <w:pPr>
        <w:spacing w:after="0" w:line="20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2025, see Note 12 to the consolidated financial statements.</w:t>
      </w:r>
    </w:p>
    <w:p>
      <w:pPr>
        <w:spacing w:after="0" w:line="162"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For information related to shares of Common Stock sold pursuant to the forward sale agreements and the Equity Distribution Agreement in 2025, see Note 11 to the consolidated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Money Pool</w:t>
      </w:r>
    </w:p>
    <w:p>
      <w:pPr>
        <w:spacing w:after="0" w:line="20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Registrants participate in a money pool through which they and certain of their subsidiaries can borrow or invest on a short-term basis. Funding needs are aggregated and external borrowing or investing is based on the net cash position. The net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2" w:name="page93"/>
    <w:bookmarkEnd w:id="92"/>
    <w:p>
      <w:pPr>
        <w:ind w:right="200"/>
        <w:spacing w:after="0" w:line="270" w:lineRule="auto"/>
        <w:rPr>
          <w:sz w:val="20"/>
          <w:szCs w:val="20"/>
          <w:color w:val="auto"/>
        </w:rPr>
      </w:pPr>
      <w:r>
        <w:rPr>
          <w:rFonts w:ascii="Times New Roman" w:cs="Times New Roman" w:eastAsia="Times New Roman" w:hAnsi="Times New Roman"/>
          <w:sz w:val="14"/>
          <w:szCs w:val="14"/>
          <w:color w:val="auto"/>
        </w:rPr>
        <w:t>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by Registrant as of February 13, 2026:</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 Interest</w:t>
            </w:r>
          </w:p>
        </w:tc>
        <w:tc>
          <w:tcPr>
            <w:tcW w:w="280" w:type="dxa"/>
            <w:vAlign w:val="bottom"/>
          </w:tcPr>
          <w:p>
            <w:pPr>
              <w:spacing w:after="0"/>
              <w:rPr>
                <w:sz w:val="13"/>
                <w:szCs w:val="13"/>
                <w:color w:val="auto"/>
              </w:rPr>
            </w:pPr>
          </w:p>
        </w:tc>
        <w:tc>
          <w:tcPr>
            <w:tcW w:w="166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600" w:type="dxa"/>
            <w:vAlign w:val="bottom"/>
          </w:tcPr>
          <w:p>
            <w:pPr>
              <w:spacing w:after="0"/>
              <w:rPr>
                <w:sz w:val="13"/>
                <w:szCs w:val="13"/>
                <w:color w:val="auto"/>
              </w:rPr>
            </w:pPr>
          </w:p>
        </w:tc>
        <w:tc>
          <w:tcPr>
            <w:tcW w:w="13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pool borrowings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463</w:t>
            </w:r>
          </w:p>
        </w:tc>
        <w:tc>
          <w:tcPr>
            <w:tcW w:w="60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Impact on Liquidity of a Downgrade in Credit Ratings</w:t>
      </w:r>
    </w:p>
    <w:p>
      <w:pPr>
        <w:spacing w:after="0" w:line="202"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 interest rate on borrowings under the Registrants’ credit facilities is based on their respective credit ratings. As of February 13, 2026, Moody’s, S&amp;P and Fitch had assigned the following credit ratings to the borrowers: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Moody’s</w:t>
            </w:r>
          </w:p>
        </w:tc>
        <w:tc>
          <w:tcPr>
            <w:tcW w:w="740" w:type="dxa"/>
            <w:vAlign w:val="bottom"/>
          </w:tcPr>
          <w:p>
            <w:pPr>
              <w:spacing w:after="0"/>
              <w:rPr>
                <w:sz w:val="13"/>
                <w:szCs w:val="13"/>
                <w:color w:val="auto"/>
              </w:rPr>
            </w:pP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720" w:type="dxa"/>
            <w:vAlign w:val="bottom"/>
          </w:tcPr>
          <w:p>
            <w:pPr>
              <w:spacing w:after="0"/>
              <w:rPr>
                <w:sz w:val="13"/>
                <w:szCs w:val="13"/>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Fitch</w:t>
            </w:r>
          </w:p>
        </w:tc>
      </w:tr>
      <w:tr>
        <w:trPr>
          <w:trHeight w:val="154"/>
        </w:trPr>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3440" w:type="dxa"/>
            <w:vAlign w:val="bottom"/>
            <w:gridSpan w:val="2"/>
          </w:tcPr>
          <w:p>
            <w:pPr>
              <w:ind w:left="1140"/>
              <w:spacing w:after="0"/>
              <w:rPr>
                <w:sz w:val="20"/>
                <w:szCs w:val="20"/>
                <w:color w:val="auto"/>
              </w:rPr>
            </w:pPr>
            <w:r>
              <w:rPr>
                <w:rFonts w:ascii="Times New Roman" w:cs="Times New Roman" w:eastAsia="Times New Roman" w:hAnsi="Times New Roman"/>
                <w:sz w:val="11"/>
                <w:szCs w:val="11"/>
                <w:b w:val="1"/>
                <w:bCs w:val="1"/>
                <w:color w:val="auto"/>
              </w:rPr>
              <w:t>Borrower/Instrument</w:t>
            </w:r>
          </w:p>
        </w:tc>
        <w:tc>
          <w:tcPr>
            <w:tcW w:w="68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Outlook (1)</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Outlook (2)</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Outlook (3)</w:t>
            </w:r>
          </w:p>
        </w:tc>
      </w:tr>
      <w:tr>
        <w:trPr>
          <w:trHeight w:val="155"/>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100" w:type="dxa"/>
            <w:vAlign w:val="bottom"/>
            <w:tcBorders>
              <w:top w:val="single" w:sz="8" w:color="CCEEFF"/>
            </w:tcBorders>
            <w:shd w:val="clear" w:color="auto" w:fill="CCEEFF"/>
          </w:tcPr>
          <w:p>
            <w:pPr>
              <w:spacing w:after="0"/>
              <w:rPr>
                <w:sz w:val="13"/>
                <w:szCs w:val="13"/>
                <w:color w:val="auto"/>
              </w:rPr>
            </w:pPr>
          </w:p>
        </w:tc>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 Senior Unsecured Debt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w w:val="97"/>
              </w:rPr>
              <w:t>Baa2</w:t>
            </w: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Negative</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BBB</w:t>
            </w: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Vectren Corp. Issuer Rating</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SIGECO Senior Secured Debt</w:t>
            </w:r>
          </w:p>
        </w:tc>
        <w:tc>
          <w:tcPr>
            <w:tcW w:w="6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A1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Houston Electric</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Houston Electric Senior Secured Debt</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A2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Negative</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6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CERC Corp. Senior Unsecured Debt</w:t>
            </w:r>
          </w:p>
        </w:tc>
        <w:tc>
          <w:tcPr>
            <w:tcW w:w="6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A3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47"/>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Indiana Gas Senior Unsecured Debt</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r>
    </w:tbl>
    <w:p>
      <w:pPr>
        <w:spacing w:after="0" w:line="72" w:lineRule="exact"/>
        <w:rPr>
          <w:sz w:val="20"/>
          <w:szCs w:val="20"/>
          <w:color w:val="auto"/>
        </w:rPr>
      </w:pPr>
    </w:p>
    <w:p>
      <w:pPr>
        <w:ind w:left="500" w:hanging="240"/>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rating outlook is an opinion regarding the likely direction of an issuer’s rating over the medium term.</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outlook assesses the potential direction of a long-term credit rating over the intermediate to longer term.</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Fitch rating outlook indicates the direction a rating is likely to move over a one- to two-year period.</w:t>
      </w:r>
    </w:p>
    <w:p>
      <w:pPr>
        <w:spacing w:after="0" w:line="185"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decline in credit ratings could increase borrowing costs under the Registrants’ revolving credit facilities. If the Registrants’ credit ratings had been downgraded one notch by S&amp;P and Moody’s from the ratings that existed as of December 31, 2025,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16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$311 million as of December 31, 2025. The amount of collateral will depend on seasonal variations in transportation levels.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ZENS and Securities Related to ZENS (CenterPoint Energy)</w:t>
      </w:r>
    </w:p>
    <w:p>
      <w:pPr>
        <w:spacing w:after="0" w:line="202"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3" w:name="page94"/>
    <w:bookmarkEnd w:id="93"/>
    <w:p>
      <w:pPr>
        <w:ind w:right="40"/>
        <w:spacing w:after="0" w:line="257" w:lineRule="auto"/>
        <w:rPr>
          <w:sz w:val="20"/>
          <w:szCs w:val="20"/>
          <w:color w:val="auto"/>
        </w:rPr>
      </w:pPr>
      <w:r>
        <w:rPr>
          <w:rFonts w:ascii="Times New Roman" w:cs="Times New Roman" w:eastAsia="Times New Roman" w:hAnsi="Times New Roman"/>
          <w:sz w:val="14"/>
          <w:szCs w:val="14"/>
          <w:color w:val="auto"/>
        </w:rPr>
        <w:t>equal to approximately 100% of the reference shares used to calculate its obligation to the holders of the ZENS. ZENS exchanges result in a cash outflow because tax deferrals related to the ZENS and shares of ZENS-Related Securities would typically be reversed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December 31, 2025, deferred taxes of approximately $897 million would have been payable in 2025, subject to reduction on account of any available net operating loss carryforwards or CAMT carryforwards. If all the ZENS-Related Securities had been sold on December 31, 2025, capital gains taxes of approximately $72 million would have been payable in 2025 based on 2025 tax rates in effect and subject to reduction on account of any available net operating loss carryforwards or CAMT carryforwards. As of December 31, 2025, CenterPoint Energy had both net operating loss and CAMT carryforwards available from its filed 2024 federal income tax return that can be applied to largely offset the cash outflow that would result from a retirement or exchange of the ZENS. For additional information about ZENS, see Note 10 to the consolidated financial statements.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Cross Defaults</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Under the Registrants’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Possible Acquisitions, Divestitures and Joint Ventures</w:t>
      </w:r>
    </w:p>
    <w:p>
      <w:pPr>
        <w:spacing w:after="0" w:line="20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September 2025 and February 2026, CenterPoint Energy has increased its planned capital expenditures in its Electric and Natural Gas businesses pursuant to its new 10-year capital plan, which calls for investment of at least $65.5 billion through 2035, and CenterPoint Energy may continue to increase such planned capital investments in the future. The Registrants may continue to explore asset sales, in addition to the completed sale of CERC Corp.’s Louisiana and Mississippi natural gas LDC businesses, as a means to efficiently finance a portion of their increased capital expenditures in the future, subject to the considerations listed above. For further information, see Note 4 to the consolidated financial statements.</w:t>
      </w:r>
    </w:p>
    <w:p>
      <w:pPr>
        <w:spacing w:after="0" w:line="16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On October 20, 2025, CenterPoint Energy, through CERC Corp., entered into the Ohio Securities Purchase Agreement to sell all of the issued and outstanding equity interests in CEOH for total consideration of approximately $2.62 billion, subject to adjustment as set forth in the Ohio Securities Purchase Agreement. The transaction is expected to close in the fourth quarter of 2026, subject to the satisfaction of customary closing conditions. For further information, see Note 4 to the consolidated financial statements.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Collection of Receivables from REPs (CenterPoint Energy and Houston Electric)</w:t>
      </w:r>
    </w:p>
    <w:p>
      <w:pPr>
        <w:spacing w:after="0" w:line="20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REP’s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4" w:name="page95"/>
    <w:bookmarkEnd w:id="94"/>
    <w:p>
      <w:pPr>
        <w:spacing w:after="0" w:line="261" w:lineRule="auto"/>
        <w:rPr>
          <w:sz w:val="20"/>
          <w:szCs w:val="20"/>
          <w:color w:val="auto"/>
        </w:rPr>
      </w:pPr>
      <w:r>
        <w:rPr>
          <w:rFonts w:ascii="Times New Roman" w:cs="Times New Roman" w:eastAsia="Times New Roman" w:hAnsi="Times New Roman"/>
          <w:sz w:val="14"/>
          <w:szCs w:val="14"/>
          <w:color w:val="auto"/>
        </w:rPr>
        <w:t>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Factors that Could Affect Cash Requirements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the above factors, the Registrants’ liquidity and capital resources could also be negatively affected by:</w:t>
      </w:r>
    </w:p>
    <w:p>
      <w:pPr>
        <w:spacing w:after="0" w:line="200" w:lineRule="exact"/>
        <w:rPr>
          <w:sz w:val="20"/>
          <w:szCs w:val="20"/>
          <w:color w:val="auto"/>
        </w:rPr>
      </w:pPr>
    </w:p>
    <w:p>
      <w:pPr>
        <w:ind w:left="520" w:right="400" w:hanging="260"/>
        <w:spacing w:after="0" w:line="263"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520" w:right="40" w:hanging="260"/>
        <w:spacing w:after="0" w:line="253"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payment dates on certain gas supply contracts, under certain circumstances, as a result of increased natural gas prices, and concentration of natural gas suppliers (CenterPoint Energy and CERC);</w:t>
      </w: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related to the acquisition of natural gas (CenterPoint Energy and CERC);</w:t>
      </w:r>
    </w:p>
    <w:p>
      <w:pPr>
        <w:spacing w:after="0" w:line="8" w:lineRule="exact"/>
        <w:rPr>
          <w:rFonts w:ascii="Times New Roman" w:cs="Times New Roman" w:eastAsia="Times New Roman" w:hAnsi="Times New Roman"/>
          <w:sz w:val="14"/>
          <w:szCs w:val="14"/>
          <w:color w:val="auto"/>
        </w:rPr>
      </w:pPr>
    </w:p>
    <w:p>
      <w:pPr>
        <w:ind w:left="520" w:right="240" w:hanging="260"/>
        <w:spacing w:after="0" w:line="253"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certain goods, materials or services due to, among other things, supply chain disruptions, inflation, labor shortages, scarcity of materials and changes in U.S. or foreign trade policy (including tariffs or other trade actions);</w:t>
      </w:r>
    </w:p>
    <w:p>
      <w:pPr>
        <w:ind w:left="520" w:hanging="260"/>
        <w:spacing w:after="0" w:line="253"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interest expense in connection with debt refinancings and borrowings under credit facilities or term loans or the use of alternative sources of financings, including financings due to the May 2024 Storm Events and Hurricane Beryl;</w:t>
      </w:r>
    </w:p>
    <w:p>
      <w:pPr>
        <w:ind w:left="520" w:right="20" w:hanging="260"/>
        <w:spacing w:after="0" w:line="253"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legislative, executive or regulatory actions at the federal, state and local levels, including actions in response to Hurricane Beryl and actions pertaining to U.S. or foreign trade policy (including tariffs or other trade actions) or other geopolitical matters;</w:t>
      </w: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collateral, if any, that may be required due to regulation of derivatives (CenterPoint Energy);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rate actions regarding our recovery of costs and ability to make a reasonable return on investment;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REPs, including REP affiliates of NRG and Vistra Energy Corp., to satisfy their obligations to CenterPoint Energy and Houston Electric;</w:t>
      </w:r>
    </w:p>
    <w:p>
      <w:pPr>
        <w:spacing w:after="0" w:line="8" w:lineRule="exact"/>
        <w:rPr>
          <w:rFonts w:ascii="Times New Roman" w:cs="Times New Roman" w:eastAsia="Times New Roman" w:hAnsi="Times New Roman"/>
          <w:sz w:val="14"/>
          <w:szCs w:val="14"/>
          <w:color w:val="auto"/>
        </w:rPr>
      </w:pPr>
    </w:p>
    <w:p>
      <w:pPr>
        <w:ind w:left="520" w:right="60" w:hanging="260"/>
        <w:spacing w:after="0" w:line="253"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customer payments and increased write-offs of receivables due to higher natural gas prices, changing economic conditions, public health threats or severe weather events, such as the May 2024 Storm Events and Hurricane Beryl;</w:t>
      </w: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of any obligations pursuant to guarantees;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pension and postretirement benefit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of any losses under applicable insurance policies;</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restoration costs and revenue losses resulting from future natural disasters such as hurricanes or other severe weather events and the timing of and amounts sought for recovery of such restoration costs; and</w:t>
      </w: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other risks identified in “Risk Factors” in Part I, Item 1A of this report.</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Certain Contractual Limits on Our Ability to Issue Securities and Borrow Money</w:t>
      </w:r>
    </w:p>
    <w:p>
      <w:pPr>
        <w:spacing w:after="0" w:line="202"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12 to the consolidated financial statements.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preparation of the Registrants’ financial statements in conformity with GAAP requires management to apply appropriate accounting policies and to make estimates and judgments that can have a significant effect on the Registrants’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95" w:name="page96"/>
    <w:bookmarkEnd w:id="95"/>
    <w:p>
      <w:pPr>
        <w:ind w:right="40"/>
        <w:spacing w:after="0" w:line="270" w:lineRule="auto"/>
        <w:rPr>
          <w:sz w:val="20"/>
          <w:szCs w:val="20"/>
          <w:color w:val="auto"/>
        </w:rPr>
      </w:pPr>
      <w:r>
        <w:rPr>
          <w:rFonts w:ascii="Times New Roman" w:cs="Times New Roman" w:eastAsia="Times New Roman" w:hAnsi="Times New Roman"/>
          <w:sz w:val="14"/>
          <w:szCs w:val="14"/>
          <w:color w:val="auto"/>
        </w:rPr>
        <w:t>as additional information is obtained and as the Registrants’ operating environment changes. Our management believes the following accounting policies involve the application of critical accounting estimates. Accordingly, these accounting estimates have been reviewed and discussed with the Audit Committee of the Board. For a complete discussion of the Registrants’ significant accounting policies, see Note 2 to the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for Rate Regulation</w:t>
      </w:r>
    </w:p>
    <w:p>
      <w:pPr>
        <w:spacing w:after="0" w:line="20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Accounting guidance for regulated operations provides that rate-regulated entities account for and report assets and liabilities consistent with the recovery of those incurred costs in rates if the rates established are designed to recover the costs of providing the regulated service and if the competitive environment makes it probable that such rates can be charged and collected. CenterPoint Energy, for its Electric and Natural Gas reportable segments, Houston Electric and CERC apply this accounting guidance. Certain expenses and revenues subject to utility regulation or rate determination normally reflected in income are deferred on the balance sheet as regulatory assets or liabilities and are recognized in income as the related amounts are included in service rates and recovered from or refunded to customers. Regulatory assets and liabilities are recorded when it is probable that these items will be recovered or reflected in future rates. Determining probability requires significant judgment on the part of management and includes, but is not limited to, consideration of testimony presented in regulatory hearings, proposed regulatory decisions, final regulatory orders and the strength or status of applications for rehearing or state court appeals. If events were to occur that would make the recovery of these assets and liabilities no longer probable, the Registrants would be required to write off or write down these regulatory assets and liabilities. For further detail on the Registrants’ regulatory assets and liabilities, see Note 7 to the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 Including Goodwill</w:t>
      </w:r>
    </w:p>
    <w:p>
      <w:pPr>
        <w:spacing w:after="0" w:line="20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Registrants review the carrying value of long-lived assets, including goodwill, whenever events or changes in circumstances indicate that such carrying values may not be recoverable, and at least annually, goodwill is tested for impairment as required by accounting guidance for goodwill. Unforeseen events, changes in market conditions, and probable regulatory disallowances, where applicable, could have a material effect on the value of long-lived assets, including goodwill, future cash flows, interest rate, and regulatory matters, and could result in an impairment charge. The Registrants recorded no impairments to long-lived assets, including goodwill during 2025, 2024 and 2023.</w:t>
      </w:r>
    </w:p>
    <w:p>
      <w:pPr>
        <w:spacing w:after="0" w:line="162"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Fair value is the amount at which an asset, liability or business could be bought or sold in a current transaction between willing parties and may be estimated using a number of techniques, including quoted market prices or valuations by third parties, present value techniques based on estimates of cash flows, or multiples of earnings or revenue performance measures. The fair value could be different using different estimates and assumptions in these valuation techniques.</w:t>
      </w:r>
    </w:p>
    <w:p>
      <w:pPr>
        <w:spacing w:after="0" w:line="157"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Fair value measurements require significant judgment and unobservable inputs, including (i) projected timing and amount of future cash flows, which factor in planned growth initiatives, (ii) the regulatory environment, as applicable, and (iii) discount rates reflecting risk inherent in the future market prices. Determining the discount rates for the businesses that are not rate-regulated, such as for Energy Systems Group prior to the sale in June 2023, requires the estimation of the appropriate company-specific risk premiums for such businesses based on evaluation of industry and entity-specific risks, which includes expectations about future market or economic conditions existing on the date of the impairment test. Changes in these assumptions could have a significant impact on results of the impairment tests.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Annual Goodwill Impairment Test</w:t>
      </w:r>
    </w:p>
    <w:p>
      <w:pPr>
        <w:spacing w:after="0" w:line="202"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completed their 2025 annual goodwill impairment test during the third quarter of 2025 and determined, based on a qualitative assessment, that no goodwill impairment charge was required for any reporting unit. No qualitative factors were present that indicated impairment of CenterPoint Energy or CERC reporting units.</w:t>
      </w:r>
    </w:p>
    <w:p>
      <w:pPr>
        <w:spacing w:after="0" w:line="145" w:lineRule="exact"/>
        <w:rPr>
          <w:sz w:val="20"/>
          <w:szCs w:val="20"/>
          <w:color w:val="auto"/>
        </w:rPr>
      </w:pPr>
    </w:p>
    <w:p>
      <w:pPr>
        <w:ind w:right="60" w:firstLine="255"/>
        <w:spacing w:after="0" w:line="267" w:lineRule="auto"/>
        <w:rPr>
          <w:sz w:val="20"/>
          <w:szCs w:val="20"/>
          <w:color w:val="auto"/>
        </w:rPr>
      </w:pPr>
      <w:r>
        <w:rPr>
          <w:rFonts w:ascii="Times New Roman" w:cs="Times New Roman" w:eastAsia="Times New Roman" w:hAnsi="Times New Roman"/>
          <w:sz w:val="14"/>
          <w:szCs w:val="14"/>
          <w:color w:val="auto"/>
        </w:rPr>
        <w:t>Although no goodwill impairment resulted from the 2025 annual test, an interim goodwill impairment test could be triggered by the following: actual earnings results that are materially lower than expected, significant adverse changes in the operating environment, an increase in the discount rate, changes in other key assumptions which require judgment and are forward looking in nature, if CenterPoint Energy’s market capitalization falls below book value for an extended period of time, or events affecting a reporting unit such as a contemplated disposal of all or part of a reporting unit.</w:t>
      </w:r>
    </w:p>
    <w:p>
      <w:pPr>
        <w:spacing w:after="0" w:line="3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Assets Held for Sale</w:t>
      </w:r>
    </w:p>
    <w:p>
      <w:pPr>
        <w:spacing w:after="0" w:line="202"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Generally, a long-lived asset to be sold is classified as held for sale in the period in which management, with approval from the Board, as applicable, commits to a plan to sell, and a sale is expected to be completed within one year. The Registrants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6" w:name="page97"/>
    <w:bookmarkEnd w:id="96"/>
    <w:p>
      <w:pPr>
        <w:ind w:right="60"/>
        <w:spacing w:after="0" w:line="270" w:lineRule="auto"/>
        <w:rPr>
          <w:sz w:val="20"/>
          <w:szCs w:val="20"/>
          <w:color w:val="auto"/>
        </w:rPr>
      </w:pPr>
      <w:r>
        <w:rPr>
          <w:rFonts w:ascii="Times New Roman" w:cs="Times New Roman" w:eastAsia="Times New Roman" w:hAnsi="Times New Roman"/>
          <w:sz w:val="14"/>
          <w:szCs w:val="14"/>
          <w:color w:val="auto"/>
        </w:rPr>
        <w:t>record assets and liabilities held for sale, or the disposal group, at the lower of their carrying value or their fair value less cost to sell. If the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157"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certain assets and liabilities of the Ohio natural gas LDC business met the held for sale criteria and the goodwill attributable to these businesses was $393 million and $219 million for CenterPoint Energy and CERC, respectively. As of December 31, 2024, certain assets and liabilities of the Louisiana and Mississippi natural gas LDC businesses met the held for sale criteria and the goodwill attributable to these businesses was $217 million and $122 million for CenterPoint Energy and CERC, respectively. See Note 4 for additional detail.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for Securitizations</w:t>
      </w:r>
    </w:p>
    <w:p>
      <w:pPr>
        <w:spacing w:after="0" w:line="20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Accounting guidance for rate regulated long-lived asset abandonment requires that the carrying value of an operating asset or an asset under construction is removed from property, plant and equipment when it becomes probable that the asset will be abandoned. The Registrants recognize a loss on abandonment when they conclude it is probable the cost will not be recovered in future rates. When the Registrants conclude it is probable that costs will be recovered in future rates, a regulatory asset is recognized. The portion of property, plant and equipment that will remain used and useful until abandonment and recovered through depreciation expense in rates will continue to be classified as property, plant and equipment until the asset is abandoned. The Registrants evaluate if an adjustment to the estimated life of the asset and, accordingly, the rate of depreciation, is required to recover the asset while it is still providing service. Determining probability of abandonment or probability of recovery requires significant judgment on the part of management and includes, but is not limited to, consideration of testimony presented in regulatory hearings, proposed regulatory decisions, final regulatory orders and the strength or status of applications for rehearing or state court appeals.</w:t>
      </w:r>
    </w:p>
    <w:p>
      <w:pPr>
        <w:spacing w:after="0" w:line="168"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In connection with the securitization of transition property or system restoration property or to facilitate the securitization financing of qualified costs, CenterPoint Energy, Houston Electric and SIGECO evaluate the wholly-owned, bankruptcy-remote, special purpose entities, which are VIEs, for possible consolidation, including review of qualitative factors such as the power to direct the activities of the VIE and the obligation to absorb losses of the VIE. CenterPoint Energy, Houston Electric and SIGECO have the power to direct the significant activities of their respective VIEs and are most closely associated with their respective VIEs as compared to other interests held by the holders of the relevant Securitization Bonds. CenterPoint Energy, Houston Electric and SIGECO are, therefore, considered the respective primary beneficiary and consolidate these VIEs.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Unbilled Revenues</w:t>
      </w:r>
    </w:p>
    <w:p>
      <w:pPr>
        <w:spacing w:after="0" w:line="20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Revenues related to electricity delivery and natural gas sales and services are generally recognized upon delivery to customers. However, the determination of deliveries to individual customers is based on the reading of their meters, which is performed on a systematic basis throughout the month either electronically through AMS meter communications or manual readings. At the end of each month, deliveries to non-AMS customers since the date of the last meter reading are estimated and the corresponding unbilled revenue is estimated. Information regarding deliveries to AMS customers after the last billing is obtained from actual AMS meter usage data. Unbilled electricity delivery revenue is estimated each month based on actual AMS meter data, daily supply volumes and applicable rates. Unbilled natural gas sales are estimated based on estimated purchased gas volumes, estimated lost and unaccounted for gas and tariffed rates in effect. As additional information becomes available, or actual amounts are determinable, the recorded estimates are revised. Consequently, operating results can be affected by revisions to prior accounting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Benefit Plans</w:t>
      </w:r>
    </w:p>
    <w:p>
      <w:pPr>
        <w:spacing w:after="0" w:line="20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CenterPoint Energy sponsors pension and other retirement plans in various forms covering all employees who meet eligibility requirements. CenterPoint Energy uses several statistical and other factors that attempt to anticipate future events in calculating the expense and liability related to its plans. These factors include assumptions about the discount rate, expected return on plan assets and rate of future compensation increases as estimated by management, within certain guidelines. In addition, CenterPoint Energy’s actuarial consultants use subjective factors such as withdrawal and mortality rates. The actuarial assumptions used may differ materially from actual results due to changing market and economic conditions, higher or lower withdrawal rates or longer or shorter life spans of participants. These differences may result in a significant impact to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auto"/>
        </w:rPr>
        <w:t>amount of pension and other retirement plans expense recorded. Read “— Other Significant Matters — Pension Plans” for further discussion.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2(p) to the consolidated financial statements, incorporated herein by reference, for a discussion of new accounting pronouncements that affect the Registrants.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OTHER SIGNIFICANT MATTERS</w:t>
      </w:r>
    </w:p>
    <w:p>
      <w:pPr>
        <w:spacing w:after="0" w:line="200"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Pension Plans (CenterPoint Energy). </w:t>
      </w:r>
      <w:r>
        <w:rPr>
          <w:rFonts w:ascii="Times New Roman" w:cs="Times New Roman" w:eastAsia="Times New Roman" w:hAnsi="Times New Roman"/>
          <w:sz w:val="14"/>
          <w:szCs w:val="14"/>
          <w:color w:val="auto"/>
        </w:rPr>
        <w:t>As discussed in Note 8(b) to the consolidated financial statements, CenterPoint Energy maintains non-contributory qualified defined benefit pension plans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covering eligible employees. Employer contributions for the qualified plans are based on actuarial computations that establish the minimum contribution required under ERISA and the maximum deductible contribution for income tax purposes.</w:t>
      </w:r>
    </w:p>
    <w:p>
      <w:pPr>
        <w:ind w:right="340" w:firstLine="255"/>
        <w:spacing w:after="0" w:line="253" w:lineRule="auto"/>
        <w:rPr>
          <w:sz w:val="20"/>
          <w:szCs w:val="20"/>
          <w:color w:val="auto"/>
        </w:rPr>
      </w:pPr>
      <w:r>
        <w:rPr>
          <w:rFonts w:ascii="Times New Roman" w:cs="Times New Roman" w:eastAsia="Times New Roman" w:hAnsi="Times New Roman"/>
          <w:sz w:val="14"/>
          <w:szCs w:val="14"/>
          <w:color w:val="auto"/>
        </w:rPr>
        <w:t>Under the terms of CenterPoint Energy’s pension plans, it reserves the right to change, modify or terminate the plan. CenterPoint Energy’s funding policy is to review amounts annually and contribute an amount at least equal to the minimum contribution required under ERISA.</w:t>
      </w:r>
    </w:p>
    <w:p>
      <w:pPr>
        <w:ind w:right="220" w:firstLine="255"/>
        <w:spacing w:after="0" w:line="266" w:lineRule="auto"/>
        <w:rPr>
          <w:sz w:val="20"/>
          <w:szCs w:val="20"/>
          <w:color w:val="auto"/>
        </w:rPr>
      </w:pPr>
      <w:r>
        <w:rPr>
          <w:rFonts w:ascii="Times New Roman" w:cs="Times New Roman" w:eastAsia="Times New Roman" w:hAnsi="Times New Roman"/>
          <w:sz w:val="14"/>
          <w:szCs w:val="14"/>
          <w:color w:val="auto"/>
        </w:rPr>
        <w:t>Additionally, CenterPoint Energy maintains unfunded non-qualified benefit restoration plans which allow participants to receive the benefits to which they would have been entitled under the non-contributory qualified pension plan except for federally mandated limits on qualified plan benefits or on the level of compensation on which qualified plan benefits may be calculated.</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funding requirements and employer contributions were as follows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860" w:type="dxa"/>
            <w:vAlign w:val="bottom"/>
            <w:tcBorders>
              <w:bottom w:val="single" w:sz="8" w:color="auto"/>
            </w:tcBorders>
          </w:tcPr>
          <w:p>
            <w:pPr>
              <w:spacing w:after="0"/>
              <w:rPr>
                <w:sz w:val="14"/>
                <w:szCs w:val="14"/>
                <w:color w:val="auto"/>
              </w:rPr>
            </w:pPr>
          </w:p>
        </w:tc>
      </w:tr>
      <w:tr>
        <w:trPr>
          <w:trHeight w:val="160"/>
        </w:trPr>
        <w:tc>
          <w:tcPr>
            <w:tcW w:w="7780" w:type="dxa"/>
            <w:vAlign w:val="bottom"/>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Minimum funding requirements for qualified pension plans</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Employer contributions to the qualified pension plans</w:t>
            </w:r>
          </w:p>
        </w:tc>
        <w:tc>
          <w:tcPr>
            <w:tcW w:w="7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32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Employer contributions to the non-qualified pension plans</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 expects to make contributions of approximately $71 million and $6 million to the qualified and non-qualified pension plans in 2026, respectively.</w:t>
      </w:r>
    </w:p>
    <w:p>
      <w:pPr>
        <w:spacing w:after="0" w:line="200"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color w:val="auto"/>
        </w:rPr>
        <w:t>Changes in pension obligations and plan assets may not be immediately recognized as pension expense in CenterPoint Energy’s Statements of Consolidated Income, but generally are recognized in future years over the remaining average service period of plan participants. As such, significant portions of pension expense recorded in any period may not reflect the actual level of benefit payments provided to plan participants.</w:t>
      </w:r>
    </w:p>
    <w:p>
      <w:pPr>
        <w:ind w:firstLine="255"/>
        <w:spacing w:after="0" w:line="259" w:lineRule="auto"/>
        <w:rPr>
          <w:sz w:val="20"/>
          <w:szCs w:val="20"/>
          <w:color w:val="auto"/>
        </w:rPr>
      </w:pPr>
      <w:r>
        <w:rPr>
          <w:rFonts w:ascii="Times New Roman" w:cs="Times New Roman" w:eastAsia="Times New Roman" w:hAnsi="Times New Roman"/>
          <w:sz w:val="14"/>
          <w:szCs w:val="14"/>
          <w:color w:val="auto"/>
        </w:rPr>
        <w:t>As the sponsor of a plan, CenterPoint Energy is required to (a) recognize on its Consolidated Balance Sheet an asset for the plan’s over-funded status or a liability for the plan’s under-funded status, (b) measure a plan’s assets and obligations as of the end of the fiscal year and (c) recognize changes in the funded status of the plans in the year that changes occur through adjustments to other comprehensive income and, when related to its rate-regulated utilities with recoverability of cost, to regulatory assets.</w:t>
      </w:r>
    </w:p>
    <w:p>
      <w:pPr>
        <w:spacing w:after="0" w:line="16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projected benefit obligation for all defined benefit pension plans was $1.5 billion as of December 31, 2025 and 2024, respectively. The projected benefit obligation remained generally consistent from December 31, 2024 to December 31, 2025 as impacts resulting from the decrease in discount rates were offset by actual return on plan assets exceeding expected return on plan assets.</w:t>
      </w:r>
    </w:p>
    <w:p>
      <w:pPr>
        <w:spacing w:after="0" w:line="145"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the projected benefit obligation exceeded the market value of plan assets of CenterPoint Energy’s pension plans by $272 million. Changes in interest rates or the market values of the securities held by the plan during a year could materially, positively or negatively, change the funded status and affect the level of pension expense and required contributions at the next remeasurement.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98" w:name="page99"/>
    <w:bookmarkEnd w:id="98"/>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Houston Electric and CERC participate in CenterPoint Energy’s qualified and non-qualified pension plans covering substantially all employees. Pension cost by Registrant was as follows for the periods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tcPr>
          <w:p>
            <w:pPr>
              <w:spacing w:after="0"/>
              <w:rPr>
                <w:sz w:val="10"/>
                <w:szCs w:val="10"/>
                <w:color w:val="auto"/>
              </w:rPr>
            </w:pPr>
          </w:p>
        </w:tc>
        <w:tc>
          <w:tcPr>
            <w:tcW w:w="12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Pr>
          <w:p>
            <w:pPr>
              <w:spacing w:after="0"/>
              <w:rPr>
                <w:sz w:val="10"/>
                <w:szCs w:val="10"/>
                <w:color w:val="auto"/>
              </w:rPr>
            </w:pPr>
          </w:p>
        </w:tc>
        <w:tc>
          <w:tcPr>
            <w:tcW w:w="800" w:type="dxa"/>
            <w:vAlign w:val="bottom"/>
          </w:tcPr>
          <w:p>
            <w:pPr>
              <w:jc w:val="center"/>
              <w:ind w:right="76"/>
              <w:spacing w:after="0" w:line="119"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2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780" w:type="dxa"/>
            <w:vAlign w:val="bottom"/>
          </w:tcPr>
          <w:p>
            <w:pPr>
              <w:jc w:val="center"/>
              <w:ind w:left="256"/>
              <w:spacing w:after="0" w:line="119"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Pr>
          <w:p>
            <w:pPr>
              <w:spacing w:after="0"/>
              <w:rPr>
                <w:sz w:val="10"/>
                <w:szCs w:val="10"/>
                <w:color w:val="auto"/>
              </w:rPr>
            </w:pPr>
          </w:p>
        </w:tc>
        <w:tc>
          <w:tcPr>
            <w:tcW w:w="760" w:type="dxa"/>
            <w:vAlign w:val="bottom"/>
          </w:tcPr>
          <w:p>
            <w:pPr>
              <w:jc w:val="center"/>
              <w:ind w:right="76"/>
              <w:spacing w:after="0" w:line="119"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240" w:type="dxa"/>
            <w:vAlign w:val="bottom"/>
          </w:tcPr>
          <w:p>
            <w:pPr>
              <w:spacing w:after="0"/>
              <w:rPr>
                <w:sz w:val="10"/>
                <w:szCs w:val="10"/>
                <w:color w:val="auto"/>
              </w:rPr>
            </w:pPr>
          </w:p>
        </w:tc>
        <w:tc>
          <w:tcPr>
            <w:tcW w:w="7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7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Pension cost</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7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23</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27</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480" w:firstLine="255"/>
        <w:spacing w:after="0" w:line="263" w:lineRule="auto"/>
        <w:rPr>
          <w:sz w:val="20"/>
          <w:szCs w:val="20"/>
          <w:color w:val="auto"/>
        </w:rPr>
      </w:pPr>
      <w:r>
        <w:rPr>
          <w:rFonts w:ascii="Times New Roman" w:cs="Times New Roman" w:eastAsia="Times New Roman" w:hAnsi="Times New Roman"/>
          <w:sz w:val="14"/>
          <w:szCs w:val="14"/>
          <w:color w:val="auto"/>
        </w:rPr>
        <w:t>The calculation of pension cost and related liabilities requires the use of assumptions. Changes in these assumptions can result in different expense and liability amounts, and future actual experience can differ from the assumptions. Two of the most critical assumptions are the expected long-term rate of return on plan assets and the assumed discount rate.</w:t>
      </w:r>
    </w:p>
    <w:p>
      <w:pPr>
        <w:spacing w:after="0" w:line="1" w:lineRule="exact"/>
        <w:rPr>
          <w:sz w:val="20"/>
          <w:szCs w:val="20"/>
          <w:color w:val="auto"/>
        </w:rPr>
      </w:pPr>
    </w:p>
    <w:p>
      <w:pPr>
        <w:ind w:right="160" w:firstLine="255"/>
        <w:spacing w:after="0" w:line="253" w:lineRule="auto"/>
        <w:rPr>
          <w:sz w:val="20"/>
          <w:szCs w:val="20"/>
          <w:color w:val="auto"/>
        </w:rPr>
      </w:pPr>
      <w:r>
        <w:rPr>
          <w:rFonts w:ascii="Times New Roman" w:cs="Times New Roman" w:eastAsia="Times New Roman" w:hAnsi="Times New Roman"/>
          <w:sz w:val="14"/>
          <w:szCs w:val="14"/>
          <w:color w:val="auto"/>
        </w:rPr>
        <w:t>As of December 31, 2025, CenterPoint Energy’s qualified pension plans had an expected long-term rate of return on plan assets of 7.00%, which is the same as the 7.00% rate assumed as of December 31, 2024. The expected rate of return assumption was developed using the targeted asset allocation of our plans and the expected return for each asset class. CenterPoint Energy regularly reviews its actual asset allocation and periodically rebalances plan assets to reduce volatility and better match plan assets and liabilities.</w:t>
      </w:r>
    </w:p>
    <w:p>
      <w:pPr>
        <w:ind w:right="340" w:firstLine="255"/>
        <w:spacing w:after="0" w:line="253" w:lineRule="auto"/>
        <w:rPr>
          <w:sz w:val="20"/>
          <w:szCs w:val="20"/>
          <w:color w:val="auto"/>
        </w:rPr>
      </w:pPr>
      <w:r>
        <w:rPr>
          <w:rFonts w:ascii="Times New Roman" w:cs="Times New Roman" w:eastAsia="Times New Roman" w:hAnsi="Times New Roman"/>
          <w:sz w:val="14"/>
          <w:szCs w:val="14"/>
          <w:color w:val="auto"/>
        </w:rPr>
        <w:t>As of December 31, 2025, the projected benefit obligation was calculated assuming a discount rate of 5.35%, which is 25 basis points lower than the 5.60% discount rate assumed as of December 31, 2024 attributed primarily to rising interest rates. The discount rate was determined by reviewing yields on high-quality bonds that receive one of the two highest ratings given by a recognized rating agency and the expected duration of pension obligations specific to the characteristics of CenterPoint Energy’s plans.</w:t>
      </w:r>
    </w:p>
    <w:p>
      <w:pPr>
        <w:ind w:right="20" w:firstLine="255"/>
        <w:spacing w:after="0" w:line="253" w:lineRule="auto"/>
        <w:rPr>
          <w:sz w:val="20"/>
          <w:szCs w:val="20"/>
          <w:color w:val="auto"/>
        </w:rPr>
      </w:pPr>
      <w:r>
        <w:rPr>
          <w:rFonts w:ascii="Times New Roman" w:cs="Times New Roman" w:eastAsia="Times New Roman" w:hAnsi="Times New Roman"/>
          <w:sz w:val="14"/>
          <w:szCs w:val="14"/>
          <w:color w:val="auto"/>
        </w:rPr>
        <w:t>CenterPoint Energy’s actuarially determined pension and other postemployment cost for 2025 and 2024 that is greater or less than the amounts being recovered through rates in the majority of Texas jurisdictions is deferred as a regulatory asset or liability, respectively. Pension cost for 2026, including the non-qualified benefit restoration plan, is estimated to be $49 million before applicable regulatory deferrals and capitalization, based on an expected return on plan assets of 7.00% and a discount rate of 5.35% as of December 31, 2025. If the expected return assumption were lowered by 50 basis points from 7.00% to 6.50%, the 2026 pension cost would increase by approximately $6 million.</w:t>
      </w:r>
    </w:p>
    <w:p>
      <w:pPr>
        <w:ind w:right="60" w:firstLine="255"/>
        <w:spacing w:after="0" w:line="255" w:lineRule="auto"/>
        <w:rPr>
          <w:sz w:val="20"/>
          <w:szCs w:val="20"/>
          <w:color w:val="auto"/>
        </w:rPr>
      </w:pPr>
      <w:r>
        <w:rPr>
          <w:rFonts w:ascii="Times New Roman" w:cs="Times New Roman" w:eastAsia="Times New Roman" w:hAnsi="Times New Roman"/>
          <w:sz w:val="14"/>
          <w:szCs w:val="14"/>
          <w:color w:val="auto"/>
        </w:rPr>
        <w:t>As of December 31, 2025, the pension plans projected benefit obligation, including the unfunded non-qualified pension plans, exceeded plan assets by $272 million. If the discount rate were lowered by 50 basis points from 5.35% to 4.85%, CenterPoint Energy’s projected benefit obligation would increase by approximately $62 million and its 2026 pension cost would decrease by approximately $1 million. The expected reduction in pension cost due to the decrease in discount rate is a result of the expected correlation between the reduced interest rate and appreciation of fixed income assets in pension plans with significantly more fixed income instruments than equity instruments. In addition, the assumption change would impact CenterPoint Energy’s Consolidated Balance Sheets by increasing the regulatory asset recorded as of December 31, 2025 by $55 million and would result in an incremental charge to comprehensive income in 2025 of $6 million, net of tax of $1 million, due to the increase in the projected benefit obligation.</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Future changes in plan asset returns, assumed discount rates and various other factors related to the pension plans will impact CenterPoint Energy’s future pension expense and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cannot predict with certainty what these factors will be in the future.</w:t>
      </w:r>
    </w:p>
    <w:p>
      <w:pPr>
        <w:spacing w:after="0" w:line="18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Changes in Interest Rates, Equity Prices and Energy Commodity Prices</w:t>
      </w:r>
    </w:p>
    <w:p>
      <w:pPr>
        <w:spacing w:after="0" w:line="202"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exposed to various market risks. These risks arise from transactions entered into in the normal course of business and are inherent in the Registrants’ consolidated financial statements. Most of the revenues and income from the Registrants’ business activities are affected by market risks. Categories of market risk include exposure to interest rates, equity prices and commodity prices through non-trading activities. A description of each market risk is set forth below:</w:t>
      </w:r>
    </w:p>
    <w:p>
      <w:pPr>
        <w:spacing w:after="0" w:line="157"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risk primarily results from exposures to changes in the level of borrowings and changes in interest rates;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price risk results from exposures to changes in prices of individual equity securities (CenterPoint Energy);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9" w:name="page100"/>
    <w:bookmarkEnd w:id="99"/>
    <w:p>
      <w:pPr>
        <w:ind w:left="260" w:right="1580"/>
        <w:spacing w:after="0" w:line="536" w:lineRule="auto"/>
        <w:tabs>
          <w:tab w:leader="none" w:pos="51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price risk results from exposures to price volatilities of commodities, such as natural gas, NGLs and other energy commodities (CenterPoint Energy). Management has established comprehensive risk management policies to monitor and manage these market risks.</w:t>
      </w: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81"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w:t>
      </w:r>
    </w:p>
    <w:p>
      <w:pPr>
        <w:spacing w:after="0" w:line="15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floating rate obligations aggregated $1.5 billion as of December 31, 2025 and 2024, which consisted primarily of commercial paper outstanding and short-term borrowings at Houston Electric. If the floating interest rates were to increase by 100 basis points from the floating interest rates at December 31, 2025, CenterPoint Energy’s combined interest expense would increase by approximately $15 million annually. CenterPoint Energy has $500 million of floating rate notes that mature in 2026.</w:t>
      </w:r>
    </w:p>
    <w:p>
      <w:pPr>
        <w:spacing w:after="0" w:line="157"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Houston Electric’s floating rate obligations were $500 million as of December 31, 2025 and 2024, which mature in the first quarter of 2026. If the floating interest rates were to increase by 100 basis points from the floating interest rates at December 31, 2025, Houston Electric’s combined interest expense would increase by approximately $5 million annually.</w:t>
      </w:r>
    </w:p>
    <w:p>
      <w:pPr>
        <w:spacing w:after="0" w:line="145"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CERC’s floating rate obligations aggregated $559 million and $599 million as of December 31, 2025 and 2024, respectively, which consisted of commercial paper outstanding. If the floating interest rates were to increase by 100 basis points from December 31, 2025 rates, CERC’s combined interest expense would increase by approximately $6 million annually. CERC has no floating rate notes maturing in 2026.</w:t>
      </w:r>
    </w:p>
    <w:p>
      <w:pPr>
        <w:spacing w:after="0" w:line="157"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2025 and 2024, CenterPoint Energy had outstanding fixed-rate debt (excluding indexed debt securities) aggregating $21.7 billion and $19.7 billion, respectively, in principal amount and having a fair value of $21.1 billion and $18.4 billion, respectively. Because these instruments are fixed-rate, they do not expose CenterPoint Energy to the risk of loss in earnings due to changes in market interest rates. However, the fair value of these instruments would increase by approximately $800 million if interest rates were to decline by 10% from their levels as of December 31, 2025. CenterPoint Energy has $517 million of fixed-rate senior notes, $1 billion of fixed-rate convertible senior notes, $300 million of fixed-rate Houston Electric general mortgage bonds and $60 million of fixed-rate CERC senior notes maturing in 2026.</w:t>
      </w:r>
    </w:p>
    <w:p>
      <w:pPr>
        <w:spacing w:after="0" w:line="164"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and 2024, Houston Electric had outstanding fixed-rate debt aggregating $9.7 billion and $8.4 billion, respectively, in principal amount and having a fair value of approximately $8.9 billion and $7.3 billion, respectively. Because these instruments are fixed-rate, they do not expose Houston Electric to the risk of loss in earnings due to changes in market interest rates. However, the fair value of these instruments would increase by approximately $400 million if interest rates were to decline by 10% from their levels as of December 31, 2025. Houston Electric has $300 million of fixed-rate general mortgage bonds maturing in 2026.</w:t>
      </w:r>
    </w:p>
    <w:p>
      <w:pPr>
        <w:spacing w:after="0" w:line="16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and 2024, CERC had outstanding fixed-rate debt aggregating $4.2 billion and $4.6 billion, respectively, in principal amount and having a fair value of $4.2 billion and $4.5 billion, respectively. Because these instruments are fixed-rate, they do not expose CERC to the risk of loss in earnings due to changes in market interest rates. However, the fair value of these instruments would increase by approximately $120 million if interest rates were to decline by 10% from their levels at December 31, 2025. CERC has $60 million fixed-rate senior notes maturing in 2026.</w:t>
      </w:r>
    </w:p>
    <w:p>
      <w:pPr>
        <w:spacing w:after="0" w:line="16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In general, such an increase in fair value previously described would impact earnings and cash flows only if the Registrants were to reacquire all or a portion of these instruments in the open market prior to their maturity. The ZENS obligation is bifurcated into a debt component and a derivative component. The debt component of less than $1 million at December 31, 2025 was a fixed-rate obligation and, therefore, did not expose CenterPoint Energy to the risk of loss in earnings due to changes in market interest rates. However, the fair value of the debt component would increase by less than $1 million if interest rates were to decline by 10% from levels at December 31, 2025. Changes in the fair value of the derivative component, a $564 million recorded liability at December 31, 2025, are recorded in CenterPoint Energy’s Statements of Consolidated Income and, therefore, it is exposed to changes in the fair value of the derivative component as a result of changes in the underlying risk-free interest rate. If the risk-free interest rate were to increase by 10% from December 31, 2025 levels, the fair value of the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derivative component liability would decrease by less than $1 million, which would be recorded as a gain on indexed debt securities in CenterPoint Energy’s Statements of Consolidated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Market Value Risk (CenterPoint Energy)</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consolidated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December 31, 2025 aggregate market value of these shares would result in a net loss of less than $1 million, which would be recorded on a gross basis as both a gain on indexed debt securities and as a loss on equity securities in CenterPoint Energy’s Statements of Consolidated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 From Non-Trading Activities (CenterPoint Energy and CERC)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regulated operations are exposed to commodity price risk during severe weather events, such as hurricanes, tornadoes and severe winter weather conditions. Severe weather events can increase commodity prices related to natural gas, coal and purchased power, which may increase our costs of providing service, and those costs may not be recoverable in rates. Recovery of cost increases driven by rising commodity prices during severe weather events could be resisted by our regulators and our regulators might attempt to deny or defer timely recovery of those costs.</w:t>
      </w:r>
    </w:p>
    <w:p>
      <w:pPr>
        <w:spacing w:after="0" w:line="157"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However, 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w:t>
      </w:r>
    </w:p>
    <w:p>
      <w:pPr>
        <w:spacing w:after="0" w:line="33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Financial Statements and Supplementary Data</w:t>
            </w:r>
          </w:p>
        </w:tc>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93"/>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2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r>
      <w:tr>
        <w:trPr>
          <w:trHeight w:val="181"/>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tc>
        <w:tc>
          <w:tcPr>
            <w:tcW w:w="6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r>
      <w:tr>
        <w:trPr>
          <w:trHeight w:val="149"/>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6860" w:type="dxa"/>
            <w:vAlign w:val="bottom"/>
          </w:tcPr>
          <w:p>
            <w:pPr>
              <w:spacing w:after="0"/>
              <w:rPr>
                <w:sz w:val="12"/>
                <w:szCs w:val="12"/>
                <w:color w:val="auto"/>
              </w:rPr>
            </w:pPr>
          </w:p>
        </w:tc>
        <w:tc>
          <w:tcPr>
            <w:tcW w:w="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93</w:t>
            </w:r>
          </w:p>
        </w:tc>
        <w:tc>
          <w:tcPr>
            <w:tcW w:w="200" w:type="dxa"/>
            <w:vAlign w:val="bottom"/>
          </w:tcPr>
          <w:p>
            <w:pPr>
              <w:spacing w:after="0"/>
              <w:rPr>
                <w:sz w:val="12"/>
                <w:szCs w:val="12"/>
                <w:color w:val="auto"/>
              </w:rPr>
            </w:pPr>
          </w:p>
        </w:tc>
      </w:tr>
      <w:tr>
        <w:trPr>
          <w:trHeight w:val="26"/>
        </w:trPr>
        <w:tc>
          <w:tcPr>
            <w:tcW w:w="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w:t>
            </w:r>
          </w:p>
        </w:tc>
        <w:tc>
          <w:tcPr>
            <w:tcW w:w="68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95</w:t>
            </w:r>
          </w:p>
        </w:tc>
        <w:tc>
          <w:tcPr>
            <w:tcW w:w="200" w:type="dxa"/>
            <w:vAlign w:val="bottom"/>
            <w:tcBorders>
              <w:left w:val="single" w:sz="8" w:color="CCEEFF"/>
            </w:tcBorders>
            <w:shd w:val="clear" w:color="auto" w:fill="CCEEFF"/>
          </w:tcPr>
          <w:p>
            <w:pPr>
              <w:spacing w:after="0"/>
              <w:rPr>
                <w:sz w:val="13"/>
                <w:szCs w:val="13"/>
                <w:color w:val="auto"/>
              </w:rPr>
            </w:pPr>
          </w:p>
        </w:tc>
      </w:tr>
      <w:tr>
        <w:trPr>
          <w:trHeight w:val="32"/>
        </w:trPr>
        <w:tc>
          <w:tcPr>
            <w:tcW w:w="5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6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r>
      <w:tr>
        <w:trPr>
          <w:trHeight w:val="149"/>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w:t>
            </w:r>
          </w:p>
        </w:tc>
        <w:tc>
          <w:tcPr>
            <w:tcW w:w="6860" w:type="dxa"/>
            <w:vAlign w:val="bottom"/>
          </w:tcPr>
          <w:p>
            <w:pPr>
              <w:spacing w:after="0"/>
              <w:rPr>
                <w:sz w:val="12"/>
                <w:szCs w:val="12"/>
                <w:color w:val="auto"/>
              </w:rPr>
            </w:pPr>
          </w:p>
        </w:tc>
        <w:tc>
          <w:tcPr>
            <w:tcW w:w="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96</w:t>
            </w:r>
          </w:p>
        </w:tc>
        <w:tc>
          <w:tcPr>
            <w:tcW w:w="200" w:type="dxa"/>
            <w:vAlign w:val="bottom"/>
          </w:tcPr>
          <w:p>
            <w:pPr>
              <w:spacing w:after="0"/>
              <w:rPr>
                <w:sz w:val="12"/>
                <w:szCs w:val="12"/>
                <w:color w:val="auto"/>
              </w:rPr>
            </w:pPr>
          </w:p>
        </w:tc>
      </w:tr>
      <w:tr>
        <w:trPr>
          <w:trHeight w:val="26"/>
        </w:trPr>
        <w:tc>
          <w:tcPr>
            <w:tcW w:w="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Consolidated Balance Sheets</w:t>
            </w:r>
          </w:p>
        </w:tc>
        <w:tc>
          <w:tcPr>
            <w:tcW w:w="68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97</w:t>
            </w:r>
          </w:p>
        </w:tc>
        <w:tc>
          <w:tcPr>
            <w:tcW w:w="200" w:type="dxa"/>
            <w:vAlign w:val="bottom"/>
            <w:tcBorders>
              <w:left w:val="single" w:sz="8" w:color="CCEEFF"/>
            </w:tcBorders>
            <w:shd w:val="clear" w:color="auto" w:fill="CCEEFF"/>
          </w:tcPr>
          <w:p>
            <w:pPr>
              <w:spacing w:after="0"/>
              <w:rPr>
                <w:sz w:val="13"/>
                <w:szCs w:val="13"/>
                <w:color w:val="auto"/>
              </w:rPr>
            </w:pPr>
          </w:p>
        </w:tc>
      </w:tr>
      <w:tr>
        <w:trPr>
          <w:trHeight w:val="32"/>
        </w:trPr>
        <w:tc>
          <w:tcPr>
            <w:tcW w:w="5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6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r>
      <w:tr>
        <w:trPr>
          <w:trHeight w:val="149"/>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w:t>
            </w:r>
          </w:p>
        </w:tc>
        <w:tc>
          <w:tcPr>
            <w:tcW w:w="6860" w:type="dxa"/>
            <w:vAlign w:val="bottom"/>
          </w:tcPr>
          <w:p>
            <w:pPr>
              <w:spacing w:after="0"/>
              <w:rPr>
                <w:sz w:val="12"/>
                <w:szCs w:val="12"/>
                <w:color w:val="auto"/>
              </w:rPr>
            </w:pPr>
          </w:p>
        </w:tc>
        <w:tc>
          <w:tcPr>
            <w:tcW w:w="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99</w:t>
            </w:r>
          </w:p>
        </w:tc>
        <w:tc>
          <w:tcPr>
            <w:tcW w:w="200" w:type="dxa"/>
            <w:vAlign w:val="bottom"/>
          </w:tcPr>
          <w:p>
            <w:pPr>
              <w:spacing w:after="0"/>
              <w:rPr>
                <w:sz w:val="12"/>
                <w:szCs w:val="12"/>
                <w:color w:val="auto"/>
              </w:rPr>
            </w:pPr>
          </w:p>
        </w:tc>
      </w:tr>
      <w:tr>
        <w:trPr>
          <w:trHeight w:val="26"/>
        </w:trPr>
        <w:tc>
          <w:tcPr>
            <w:tcW w:w="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66"/>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w:t>
            </w:r>
          </w:p>
        </w:tc>
        <w:tc>
          <w:tcPr>
            <w:tcW w:w="7200" w:type="dxa"/>
            <w:vAlign w:val="bottom"/>
            <w:gridSpan w:val="3"/>
            <w:shd w:val="clear" w:color="auto" w:fill="CCEEFF"/>
          </w:tcPr>
          <w:p>
            <w:pPr>
              <w:jc w:val="center"/>
              <w:ind w:left="6589"/>
              <w:spacing w:after="0" w:line="155" w:lineRule="exact"/>
              <w:rPr>
                <w:sz w:val="20"/>
                <w:szCs w:val="20"/>
                <w:color w:val="auto"/>
              </w:rPr>
            </w:pPr>
            <w:r>
              <w:rPr>
                <w:rFonts w:ascii="Times New Roman" w:cs="Times New Roman" w:eastAsia="Times New Roman" w:hAnsi="Times New Roman"/>
                <w:sz w:val="14"/>
                <w:szCs w:val="14"/>
                <w:color w:val="0000FF"/>
              </w:rPr>
              <w:t>100</w:t>
            </w:r>
          </w:p>
        </w:tc>
      </w:tr>
      <w:tr>
        <w:trPr>
          <w:trHeight w:val="212"/>
        </w:trPr>
        <w:tc>
          <w:tcPr>
            <w:tcW w:w="4080" w:type="dxa"/>
            <w:vAlign w:val="bottom"/>
            <w:tcBorders>
              <w:top w:val="single" w:sz="8" w:color="CCEEFF"/>
            </w:tcBorders>
            <w:gridSpan w:val="2"/>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8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tc>
        <w:tc>
          <w:tcPr>
            <w:tcW w:w="6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101</w:t>
            </w:r>
          </w:p>
        </w:tc>
        <w:tc>
          <w:tcPr>
            <w:tcW w:w="200" w:type="dxa"/>
            <w:vAlign w:val="bottom"/>
          </w:tcPr>
          <w:p>
            <w:pPr>
              <w:spacing w:after="0"/>
              <w:rPr>
                <w:sz w:val="13"/>
                <w:szCs w:val="13"/>
                <w:color w:val="auto"/>
              </w:rPr>
            </w:pPr>
          </w:p>
        </w:tc>
      </w:tr>
      <w:tr>
        <w:trPr>
          <w:trHeight w:val="166"/>
        </w:trPr>
        <w:tc>
          <w:tcPr>
            <w:tcW w:w="408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w:t>
            </w:r>
          </w:p>
        </w:tc>
        <w:tc>
          <w:tcPr>
            <w:tcW w:w="686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103</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104</w:t>
            </w:r>
          </w:p>
        </w:tc>
        <w:tc>
          <w:tcPr>
            <w:tcW w:w="200" w:type="dxa"/>
            <w:vAlign w:val="bottom"/>
          </w:tcPr>
          <w:p>
            <w:pPr>
              <w:spacing w:after="0"/>
              <w:rPr>
                <w:sz w:val="13"/>
                <w:szCs w:val="13"/>
                <w:color w:val="auto"/>
              </w:rPr>
            </w:pPr>
          </w:p>
        </w:tc>
      </w:tr>
      <w:tr>
        <w:trPr>
          <w:trHeight w:val="166"/>
        </w:trPr>
        <w:tc>
          <w:tcPr>
            <w:tcW w:w="408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Consolidated Balance Sheets</w:t>
            </w:r>
          </w:p>
        </w:tc>
        <w:tc>
          <w:tcPr>
            <w:tcW w:w="686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105</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107</w:t>
            </w:r>
          </w:p>
        </w:tc>
        <w:tc>
          <w:tcPr>
            <w:tcW w:w="200" w:type="dxa"/>
            <w:vAlign w:val="bottom"/>
          </w:tcPr>
          <w:p>
            <w:pPr>
              <w:spacing w:after="0"/>
              <w:rPr>
                <w:sz w:val="13"/>
                <w:szCs w:val="13"/>
                <w:color w:val="auto"/>
              </w:rPr>
            </w:pPr>
          </w:p>
        </w:tc>
      </w:tr>
      <w:tr>
        <w:trPr>
          <w:trHeight w:val="166"/>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w:t>
            </w:r>
          </w:p>
        </w:tc>
        <w:tc>
          <w:tcPr>
            <w:tcW w:w="7200" w:type="dxa"/>
            <w:vAlign w:val="bottom"/>
            <w:gridSpan w:val="3"/>
            <w:shd w:val="clear" w:color="auto" w:fill="CCEEFF"/>
          </w:tcPr>
          <w:p>
            <w:pPr>
              <w:jc w:val="center"/>
              <w:ind w:left="6589"/>
              <w:spacing w:after="0" w:line="155" w:lineRule="exact"/>
              <w:rPr>
                <w:sz w:val="20"/>
                <w:szCs w:val="20"/>
                <w:color w:val="auto"/>
              </w:rPr>
            </w:pPr>
            <w:r>
              <w:rPr>
                <w:rFonts w:ascii="Times New Roman" w:cs="Times New Roman" w:eastAsia="Times New Roman" w:hAnsi="Times New Roman"/>
                <w:sz w:val="14"/>
                <w:szCs w:val="14"/>
                <w:color w:val="0000FF"/>
              </w:rPr>
              <w:t>108</w:t>
            </w:r>
          </w:p>
        </w:tc>
      </w:tr>
      <w:tr>
        <w:trPr>
          <w:trHeight w:val="212"/>
        </w:trPr>
        <w:tc>
          <w:tcPr>
            <w:tcW w:w="4080" w:type="dxa"/>
            <w:vAlign w:val="bottom"/>
            <w:tcBorders>
              <w:top w:val="single" w:sz="8" w:color="CCEEFF"/>
            </w:tcBorders>
            <w:gridSpan w:val="2"/>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8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tc>
        <w:tc>
          <w:tcPr>
            <w:tcW w:w="6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109</w:t>
            </w:r>
          </w:p>
        </w:tc>
        <w:tc>
          <w:tcPr>
            <w:tcW w:w="200" w:type="dxa"/>
            <w:vAlign w:val="bottom"/>
          </w:tcPr>
          <w:p>
            <w:pPr>
              <w:spacing w:after="0"/>
              <w:rPr>
                <w:sz w:val="13"/>
                <w:szCs w:val="13"/>
                <w:color w:val="auto"/>
              </w:rPr>
            </w:pPr>
          </w:p>
        </w:tc>
      </w:tr>
      <w:tr>
        <w:trPr>
          <w:trHeight w:val="154"/>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w:t>
            </w:r>
          </w:p>
        </w:tc>
        <w:tc>
          <w:tcPr>
            <w:tcW w:w="7000" w:type="dxa"/>
            <w:vAlign w:val="bottom"/>
            <w:gridSpan w:val="2"/>
            <w:shd w:val="clear" w:color="auto" w:fill="CCEEFF"/>
          </w:tcPr>
          <w:p>
            <w:pPr>
              <w:jc w:val="center"/>
              <w:ind w:left="6729"/>
              <w:spacing w:after="0" w:line="155" w:lineRule="exact"/>
              <w:rPr>
                <w:sz w:val="20"/>
                <w:szCs w:val="20"/>
                <w:color w:val="auto"/>
              </w:rPr>
            </w:pPr>
            <w:r>
              <w:rPr>
                <w:rFonts w:ascii="Times New Roman" w:cs="Times New Roman" w:eastAsia="Times New Roman" w:hAnsi="Times New Roman"/>
                <w:sz w:val="14"/>
                <w:szCs w:val="14"/>
                <w:color w:val="0000FF"/>
                <w:w w:val="95"/>
              </w:rPr>
              <w:t>111</w:t>
            </w:r>
          </w:p>
        </w:tc>
        <w:tc>
          <w:tcPr>
            <w:tcW w:w="200" w:type="dxa"/>
            <w:vAlign w:val="bottom"/>
            <w:tcBorders>
              <w:left w:val="single" w:sz="8" w:color="CCEEFF"/>
            </w:tcBorders>
            <w:shd w:val="clear" w:color="auto" w:fill="CCEEFF"/>
          </w:tcPr>
          <w:p>
            <w:pPr>
              <w:spacing w:after="0"/>
              <w:rPr>
                <w:sz w:val="13"/>
                <w:szCs w:val="13"/>
                <w:color w:val="auto"/>
              </w:rPr>
            </w:pPr>
          </w:p>
        </w:tc>
      </w:tr>
      <w:tr>
        <w:trPr>
          <w:trHeight w:val="32"/>
        </w:trPr>
        <w:tc>
          <w:tcPr>
            <w:tcW w:w="5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6860" w:type="dxa"/>
            <w:vAlign w:val="bottom"/>
            <w:tcBorders>
              <w:right w:val="single" w:sz="8" w:color="0000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CCEEFF"/>
          </w:tcPr>
          <w:p>
            <w:pPr>
              <w:spacing w:after="0"/>
              <w:rPr>
                <w:sz w:val="2"/>
                <w:szCs w:val="2"/>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112</w:t>
            </w:r>
          </w:p>
        </w:tc>
        <w:tc>
          <w:tcPr>
            <w:tcW w:w="200" w:type="dxa"/>
            <w:vAlign w:val="bottom"/>
          </w:tcPr>
          <w:p>
            <w:pPr>
              <w:spacing w:after="0"/>
              <w:rPr>
                <w:sz w:val="13"/>
                <w:szCs w:val="13"/>
                <w:color w:val="auto"/>
              </w:rPr>
            </w:pPr>
          </w:p>
        </w:tc>
      </w:tr>
      <w:tr>
        <w:trPr>
          <w:trHeight w:val="166"/>
        </w:trPr>
        <w:tc>
          <w:tcPr>
            <w:tcW w:w="408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Consolidated Balance Sheets</w:t>
            </w:r>
          </w:p>
        </w:tc>
        <w:tc>
          <w:tcPr>
            <w:tcW w:w="686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113</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115</w:t>
            </w:r>
          </w:p>
        </w:tc>
        <w:tc>
          <w:tcPr>
            <w:tcW w:w="200" w:type="dxa"/>
            <w:vAlign w:val="bottom"/>
          </w:tcPr>
          <w:p>
            <w:pPr>
              <w:spacing w:after="0"/>
              <w:rPr>
                <w:sz w:val="13"/>
                <w:szCs w:val="13"/>
                <w:color w:val="auto"/>
              </w:rPr>
            </w:pPr>
          </w:p>
        </w:tc>
      </w:tr>
      <w:tr>
        <w:trPr>
          <w:trHeight w:val="166"/>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w:t>
            </w:r>
          </w:p>
        </w:tc>
        <w:tc>
          <w:tcPr>
            <w:tcW w:w="7000" w:type="dxa"/>
            <w:vAlign w:val="bottom"/>
            <w:gridSpan w:val="2"/>
            <w:shd w:val="clear" w:color="auto" w:fill="CCEEFF"/>
          </w:tcPr>
          <w:p>
            <w:pPr>
              <w:jc w:val="center"/>
              <w:ind w:left="6709"/>
              <w:spacing w:after="0" w:line="155" w:lineRule="exact"/>
              <w:rPr>
                <w:sz w:val="20"/>
                <w:szCs w:val="20"/>
                <w:color w:val="auto"/>
              </w:rPr>
            </w:pPr>
            <w:r>
              <w:rPr>
                <w:rFonts w:ascii="Times New Roman" w:cs="Times New Roman" w:eastAsia="Times New Roman" w:hAnsi="Times New Roman"/>
                <w:sz w:val="14"/>
                <w:szCs w:val="14"/>
                <w:color w:val="0000FF"/>
              </w:rPr>
              <w:t>116</w:t>
            </w:r>
          </w:p>
        </w:tc>
        <w:tc>
          <w:tcPr>
            <w:tcW w:w="200" w:type="dxa"/>
            <w:vAlign w:val="bottom"/>
            <w:tcBorders>
              <w:left w:val="single" w:sz="8" w:color="CCEEFF"/>
            </w:tcBorders>
            <w:shd w:val="clear" w:color="auto" w:fill="CCEEFF"/>
          </w:tcPr>
          <w:p>
            <w:pPr>
              <w:spacing w:after="0"/>
              <w:rPr>
                <w:sz w:val="14"/>
                <w:szCs w:val="14"/>
                <w:color w:val="auto"/>
              </w:rPr>
            </w:pPr>
          </w:p>
        </w:tc>
      </w:tr>
      <w:tr>
        <w:trPr>
          <w:trHeight w:val="891"/>
        </w:trPr>
        <w:tc>
          <w:tcPr>
            <w:tcW w:w="58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6860" w:type="dxa"/>
            <w:vAlign w:val="bottom"/>
            <w:tcBorders>
              <w:top w:val="single" w:sz="8" w:color="CCEEFF"/>
            </w:tcBorders>
          </w:tcPr>
          <w:p>
            <w:pPr>
              <w:jc w:val="right"/>
              <w:ind w:right="5149"/>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6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6"/>
        </w:trPr>
        <w:tc>
          <w:tcPr>
            <w:tcW w:w="10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 Notes to Consolidated Financial Statements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1"/>
        </w:trPr>
        <w:tc>
          <w:tcPr>
            <w:tcW w:w="3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520" w:type="dxa"/>
            <w:vAlign w:val="bottom"/>
            <w:tcBorders>
              <w:bottom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Background and Basis of Presentation</w:t>
            </w:r>
          </w:p>
        </w:tc>
        <w:tc>
          <w:tcPr>
            <w:tcW w:w="220" w:type="dxa"/>
            <w:vAlign w:val="bottom"/>
            <w:tcBorders>
              <w:bottom w:val="single" w:sz="8" w:color="0000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117</w:t>
            </w:r>
          </w:p>
        </w:tc>
        <w:tc>
          <w:tcPr>
            <w:tcW w:w="160" w:type="dxa"/>
            <w:vAlign w:val="bottom"/>
            <w:tcBorders>
              <w:bottom w:val="single" w:sz="8" w:color="CCEEFF"/>
            </w:tcBorders>
            <w:shd w:val="clear" w:color="auto" w:fill="CCEEFF"/>
          </w:tcPr>
          <w:p>
            <w:pPr>
              <w:spacing w:after="0"/>
              <w:rPr>
                <w:sz w:val="13"/>
                <w:szCs w:val="13"/>
                <w:color w:val="auto"/>
              </w:rPr>
            </w:pPr>
          </w:p>
        </w:tc>
      </w:tr>
      <w:tr>
        <w:trPr>
          <w:trHeight w:val="154"/>
        </w:trPr>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Summary of Significant Accounting Policies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118</w:t>
            </w:r>
          </w:p>
        </w:tc>
        <w:tc>
          <w:tcPr>
            <w:tcW w:w="160" w:type="dxa"/>
            <w:vAlign w:val="bottom"/>
          </w:tcPr>
          <w:p>
            <w:pPr>
              <w:spacing w:after="0"/>
              <w:rPr>
                <w:sz w:val="13"/>
                <w:szCs w:val="13"/>
                <w:color w:val="auto"/>
              </w:rPr>
            </w:pPr>
          </w:p>
        </w:tc>
      </w:tr>
      <w:tr>
        <w:trPr>
          <w:trHeight w:val="166"/>
        </w:trPr>
        <w:tc>
          <w:tcPr>
            <w:tcW w:w="3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052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122</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Held for Sale, Divestitures and Acquisition (CenterPoint Energy and CERC)</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124</w:t>
            </w:r>
          </w:p>
        </w:tc>
        <w:tc>
          <w:tcPr>
            <w:tcW w:w="160" w:type="dxa"/>
            <w:vAlign w:val="bottom"/>
          </w:tcPr>
          <w:p>
            <w:pPr>
              <w:spacing w:after="0"/>
              <w:rPr>
                <w:sz w:val="13"/>
                <w:szCs w:val="13"/>
                <w:color w:val="auto"/>
              </w:rPr>
            </w:pPr>
          </w:p>
        </w:tc>
      </w:tr>
      <w:tr>
        <w:trPr>
          <w:trHeight w:val="166"/>
        </w:trPr>
        <w:tc>
          <w:tcPr>
            <w:tcW w:w="3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(5)</w:t>
            </w:r>
          </w:p>
        </w:tc>
        <w:tc>
          <w:tcPr>
            <w:tcW w:w="1052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126</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129</w:t>
            </w:r>
          </w:p>
        </w:tc>
        <w:tc>
          <w:tcPr>
            <w:tcW w:w="160" w:type="dxa"/>
            <w:vAlign w:val="bottom"/>
          </w:tcPr>
          <w:p>
            <w:pPr>
              <w:spacing w:after="0"/>
              <w:rPr>
                <w:sz w:val="13"/>
                <w:szCs w:val="13"/>
                <w:color w:val="auto"/>
              </w:rPr>
            </w:pPr>
          </w:p>
        </w:tc>
      </w:tr>
      <w:tr>
        <w:trPr>
          <w:trHeight w:val="166"/>
        </w:trPr>
        <w:tc>
          <w:tcPr>
            <w:tcW w:w="3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(7)</w:t>
            </w:r>
          </w:p>
        </w:tc>
        <w:tc>
          <w:tcPr>
            <w:tcW w:w="1052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Regulatory Matters</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131</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Incentive Compensation Plans and Employee Benefit Plans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137</w:t>
            </w:r>
          </w:p>
        </w:tc>
        <w:tc>
          <w:tcPr>
            <w:tcW w:w="160" w:type="dxa"/>
            <w:vAlign w:val="bottom"/>
          </w:tcPr>
          <w:p>
            <w:pPr>
              <w:spacing w:after="0"/>
              <w:rPr>
                <w:sz w:val="13"/>
                <w:szCs w:val="13"/>
                <w:color w:val="auto"/>
              </w:rPr>
            </w:pPr>
          </w:p>
        </w:tc>
      </w:tr>
      <w:tr>
        <w:trPr>
          <w:trHeight w:val="166"/>
        </w:trPr>
        <w:tc>
          <w:tcPr>
            <w:tcW w:w="3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(9)</w:t>
            </w:r>
          </w:p>
        </w:tc>
        <w:tc>
          <w:tcPr>
            <w:tcW w:w="1052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Fair Value Measurements</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147</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 Securities and Indexed Debt Securities (ZENS) (CenterPoint Energy)</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149</w:t>
            </w:r>
          </w:p>
        </w:tc>
        <w:tc>
          <w:tcPr>
            <w:tcW w:w="160" w:type="dxa"/>
            <w:vAlign w:val="bottom"/>
          </w:tcPr>
          <w:p>
            <w:pPr>
              <w:spacing w:after="0"/>
              <w:rPr>
                <w:sz w:val="13"/>
                <w:szCs w:val="13"/>
                <w:color w:val="auto"/>
              </w:rPr>
            </w:pPr>
          </w:p>
        </w:tc>
      </w:tr>
      <w:tr>
        <w:trPr>
          <w:trHeight w:val="166"/>
        </w:trPr>
        <w:tc>
          <w:tcPr>
            <w:tcW w:w="10900" w:type="dxa"/>
            <w:vAlign w:val="bottom"/>
            <w:tcBorders>
              <w:bottom w:val="single" w:sz="8" w:color="CCEEFF"/>
            </w:tcBorders>
            <w:gridSpan w:val="3"/>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(11) Equity</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151</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Short-term Borrowings and Long-term Debt</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154</w:t>
            </w:r>
          </w:p>
        </w:tc>
        <w:tc>
          <w:tcPr>
            <w:tcW w:w="160" w:type="dxa"/>
            <w:vAlign w:val="bottom"/>
          </w:tcPr>
          <w:p>
            <w:pPr>
              <w:spacing w:after="0"/>
              <w:rPr>
                <w:sz w:val="13"/>
                <w:szCs w:val="13"/>
                <w:color w:val="auto"/>
              </w:rPr>
            </w:pPr>
          </w:p>
        </w:tc>
      </w:tr>
      <w:tr>
        <w:trPr>
          <w:trHeight w:val="166"/>
        </w:trPr>
        <w:tc>
          <w:tcPr>
            <w:tcW w:w="44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104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160</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164</w:t>
            </w:r>
          </w:p>
        </w:tc>
        <w:tc>
          <w:tcPr>
            <w:tcW w:w="160" w:type="dxa"/>
            <w:vAlign w:val="bottom"/>
          </w:tcPr>
          <w:p>
            <w:pPr>
              <w:spacing w:after="0"/>
              <w:rPr>
                <w:sz w:val="13"/>
                <w:szCs w:val="13"/>
                <w:color w:val="auto"/>
              </w:rPr>
            </w:pPr>
          </w:p>
        </w:tc>
      </w:tr>
      <w:tr>
        <w:trPr>
          <w:trHeight w:val="166"/>
        </w:trPr>
        <w:tc>
          <w:tcPr>
            <w:tcW w:w="44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104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Earnings Per Share (CenterPoint Energy)</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171</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Reportable Segments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172</w:t>
            </w:r>
          </w:p>
        </w:tc>
        <w:tc>
          <w:tcPr>
            <w:tcW w:w="160" w:type="dxa"/>
            <w:vAlign w:val="bottom"/>
          </w:tcPr>
          <w:p>
            <w:pPr>
              <w:spacing w:after="0"/>
              <w:rPr>
                <w:sz w:val="13"/>
                <w:szCs w:val="13"/>
                <w:color w:val="auto"/>
              </w:rPr>
            </w:pPr>
          </w:p>
        </w:tc>
      </w:tr>
      <w:tr>
        <w:trPr>
          <w:trHeight w:val="166"/>
        </w:trPr>
        <w:tc>
          <w:tcPr>
            <w:tcW w:w="44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04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Supplemental Disclosure of Cash Flow and Balance Sheet Information</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176</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Related Party Transactions (Houston Electric and CERC)</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177</w:t>
            </w:r>
          </w:p>
        </w:tc>
        <w:tc>
          <w:tcPr>
            <w:tcW w:w="160" w:type="dxa"/>
            <w:vAlign w:val="bottom"/>
          </w:tcPr>
          <w:p>
            <w:pPr>
              <w:spacing w:after="0"/>
              <w:rPr>
                <w:sz w:val="13"/>
                <w:szCs w:val="13"/>
                <w:color w:val="auto"/>
              </w:rPr>
            </w:pPr>
          </w:p>
        </w:tc>
      </w:tr>
      <w:tr>
        <w:trPr>
          <w:trHeight w:val="166"/>
        </w:trPr>
        <w:tc>
          <w:tcPr>
            <w:tcW w:w="44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104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Leases</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178</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49"/>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Subsequent Events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181</w:t>
            </w:r>
          </w:p>
        </w:tc>
        <w:tc>
          <w:tcPr>
            <w:tcW w:w="16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CenterPoint Energy,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CenterPoint Energy, Inc. and subsidiaries (the "Company") as of December 31, 2025 and 2024, the related consolidated statements of income,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62" w:lineRule="exact"/>
        <w:rPr>
          <w:sz w:val="20"/>
          <w:szCs w:val="20"/>
          <w:color w:val="auto"/>
        </w:rPr>
      </w:pPr>
    </w:p>
    <w:p>
      <w:pPr>
        <w:jc w:val="both"/>
        <w:ind w:right="160"/>
        <w:spacing w:after="0" w:line="246"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February 19, 2026, expressed an unqualified opinion on the Company's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91" w:lineRule="exact"/>
        <w:rPr>
          <w:sz w:val="20"/>
          <w:szCs w:val="20"/>
          <w:color w:val="auto"/>
        </w:rPr>
      </w:pPr>
    </w:p>
    <w:p>
      <w:pPr>
        <w:ind w:right="540"/>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Rate Regulation on the Financial Statements — Refer to Note 7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4"/>
          <w:szCs w:val="14"/>
          <w:color w:val="auto"/>
        </w:rPr>
        <w:t>The Company is subject to rate regulation by regulators and commissions in various jurisdictions (collectively, the “Commissions”) that have jurisdiction with respect to the rates of electric and gas transmission and distribution companies in those jurisdictions. Management has determined its regulated operations meet the requirements under accounting principles generally accepted in the United States of America to prepare its financial statements applying the specialized rules to account for the effects of cost-based rate regulation. The impacts of accounting for the economics of rate regulation are pervasive to the financial statements and disclosures.</w:t>
      </w:r>
    </w:p>
    <w:p>
      <w:pPr>
        <w:spacing w:after="0" w:line="16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The Company’s rates are subject to regulatory rate-setting processes by the Commissions.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in rates. The Commissions’ regulation of rates is premised on the full recovery of prudently incurred costs and a reasonable rate of return on invested capital. Decisions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104" w:name="page105"/>
    <w:bookmarkEnd w:id="104"/>
    <w:p>
      <w:pPr>
        <w:spacing w:after="0" w:line="249" w:lineRule="auto"/>
        <w:rPr>
          <w:sz w:val="20"/>
          <w:szCs w:val="20"/>
          <w:color w:val="auto"/>
        </w:rPr>
      </w:pPr>
      <w:r>
        <w:rPr>
          <w:rFonts w:ascii="Times New Roman" w:cs="Times New Roman" w:eastAsia="Times New Roman" w:hAnsi="Times New Roman"/>
          <w:sz w:val="14"/>
          <w:szCs w:val="14"/>
          <w:color w:val="auto"/>
        </w:rPr>
        <w:t>to be made by the Commissions in the future will impact the accounting for regulated operations, including decisions about the amount of allowable costs and return on invested capital included in rates and any refunds that may be required. While the Company has indicated it expects to recover costs from customers through regulated rates, there is a risk that the Commissions will not approve:</w:t>
      </w:r>
    </w:p>
    <w:p>
      <w:pPr>
        <w:spacing w:after="0"/>
        <w:rPr>
          <w:sz w:val="20"/>
          <w:szCs w:val="20"/>
          <w:color w:val="auto"/>
        </w:rPr>
      </w:pPr>
      <w:r>
        <w:rPr>
          <w:rFonts w:ascii="Times New Roman" w:cs="Times New Roman" w:eastAsia="Times New Roman" w:hAnsi="Times New Roman"/>
          <w:sz w:val="14"/>
          <w:szCs w:val="14"/>
          <w:color w:val="auto"/>
        </w:rPr>
        <w:t>(1) full recovery of the costs of providing utility service, or (2) full recovery of all amounts invested in the utility business and a reasonable return on that investment.</w:t>
      </w:r>
    </w:p>
    <w:p>
      <w:pPr>
        <w:spacing w:after="0" w:line="17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We identified rate regulation as a critical audit matter due to the significant judgments made by management to support its assertions about certain affected account balances and disclosures and the high degree of subjectivity involved in assessing the impact of regulatory actions on the financial statements. Management’s judgments include assessing the likelihood of (1) recovery in future rates of incurred costs, (2) a disallowance of capital investments made by the Company and (3) refunds to customers. Given that certain of management’s accounting judgments are based on assumptions about the outcome of decisions by the Commissions, auditing these judgments required specialized knowledge of accounting for rate regulation and the rate setting process.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potential uncertainty of decisions by the Commissions included the following, among others:</w:t>
      </w:r>
    </w:p>
    <w:p>
      <w:pPr>
        <w:spacing w:after="0" w:line="189" w:lineRule="exact"/>
        <w:rPr>
          <w:sz w:val="20"/>
          <w:szCs w:val="20"/>
          <w:color w:val="auto"/>
        </w:rPr>
      </w:pPr>
    </w:p>
    <w:p>
      <w:pPr>
        <w:ind w:left="260" w:hanging="255"/>
        <w:spacing w:after="0"/>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disclosures related to the effects of rate regulation by testing certain recorded balances and evaluating regulatory developments.</w:t>
      </w:r>
    </w:p>
    <w:p>
      <w:pPr>
        <w:spacing w:after="0" w:line="189" w:lineRule="exact"/>
        <w:rPr>
          <w:rFonts w:ascii="Times New Roman" w:cs="Times New Roman" w:eastAsia="Times New Roman" w:hAnsi="Times New Roman"/>
          <w:sz w:val="14"/>
          <w:szCs w:val="14"/>
          <w:color w:val="auto"/>
        </w:rPr>
      </w:pPr>
    </w:p>
    <w:p>
      <w:pPr>
        <w:ind w:left="260" w:right="80" w:hanging="255"/>
        <w:spacing w:after="0" w:line="271" w:lineRule="auto"/>
        <w:tabs>
          <w:tab w:leader="none" w:pos="25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relevant regulatory orders issued by the Commissions, regulatory statutes, filings made by the Company and intervenors, and other external information. We evaluated relevant external information and compared it to certain recorded regulatory asset and liability balances for completeness.</w:t>
      </w:r>
    </w:p>
    <w:p>
      <w:pPr>
        <w:spacing w:after="0" w:line="145" w:lineRule="exact"/>
        <w:rPr>
          <w:rFonts w:ascii="Times New Roman" w:cs="Times New Roman" w:eastAsia="Times New Roman" w:hAnsi="Times New Roman"/>
          <w:sz w:val="14"/>
          <w:szCs w:val="14"/>
          <w:color w:val="auto"/>
        </w:rPr>
      </w:pPr>
    </w:p>
    <w:p>
      <w:pPr>
        <w:ind w:left="260" w:right="100" w:hanging="255"/>
        <w:spacing w:after="0" w:line="271" w:lineRule="auto"/>
        <w:tabs>
          <w:tab w:leader="none" w:pos="25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regulatory matters, we inspected the Company’s filings with the Commissions to assess the likelihood of recovery in future rates or of a future reduction in rates based on precedents of the Commissions’ treatment of similar costs under similar circumstances.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1932.</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9" w:right="35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CONSOLIDATED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00" w:type="dxa"/>
            <w:vAlign w:val="bottom"/>
            <w:gridSpan w:val="6"/>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020" w:type="dxa"/>
            <w:vAlign w:val="bottom"/>
          </w:tcPr>
          <w:p>
            <w:pPr>
              <w:spacing w:after="0"/>
              <w:rPr>
                <w:sz w:val="13"/>
                <w:szCs w:val="13"/>
                <w:color w:val="auto"/>
              </w:rPr>
            </w:pPr>
          </w:p>
        </w:tc>
      </w:tr>
      <w:tr>
        <w:trPr>
          <w:trHeight w:val="170"/>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revenues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8,524</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Non-utility revenues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8,696</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6,936</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sale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(loss) on equity securities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(loss) on indexed debt securities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income, net</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15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w:t>
            </w:r>
          </w:p>
        </w:tc>
      </w:tr>
      <w:tr>
        <w:trPr>
          <w:trHeight w:val="16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allocated to preferred shareholders</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3"/>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Available to Common Shareholders</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49"/>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Common Share</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2"/>
                <w:szCs w:val="12"/>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Common Share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r>
      <w:tr>
        <w:trPr>
          <w:trHeight w:val="167"/>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w:t>
            </w: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STATEMENTS OF CONSOLIDATED COMPREHENSIVE INCOME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78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r>
      <w:tr>
        <w:trPr>
          <w:trHeight w:val="15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postemployment plans (net of tax expense (benefit) of $0, $4 and $(1), respectively)</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deferred gain from cash flow hedges (net of tax of $0, $0 and $0)</w:t>
            </w:r>
          </w:p>
        </w:tc>
        <w:tc>
          <w:tcPr>
            <w:tcW w:w="9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Reclassification of deferred (gain) loss from cash flow hedges realized in net income (net of tax of $0, $0 and $0)</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w:t>
            </w:r>
          </w:p>
        </w:tc>
      </w:tr>
      <w:tr>
        <w:trPr>
          <w:trHeight w:val="158"/>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allocated to preferred shareholders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8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 available to common shareholders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20" w:type="dxa"/>
            <w:vAlign w:val="bottom"/>
          </w:tcPr>
          <w:p>
            <w:pPr>
              <w:spacing w:after="0"/>
              <w:rPr>
                <w:sz w:val="13"/>
                <w:szCs w:val="13"/>
                <w:color w:val="auto"/>
              </w:rPr>
            </w:pPr>
          </w:p>
        </w:tc>
      </w:tr>
      <w:tr>
        <w:trPr>
          <w:trHeight w:val="168"/>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($34 and $21 related to VIEs, respectively)</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 ($6 and $2 related to VIEs, respectively), less allowance for credit losses of $25 and $28, respectively</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unbilled revenues ($4 and $2 related to VIEs, respectively), less allowance for credit losses of $2 and $2, respectively</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Materials and supplies</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Natural gas and coal inventory</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receivable</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168"/>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 ($6 and $2 related to VIEs, respectively)</w:t>
            </w: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6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w:t>
            </w:r>
          </w:p>
        </w:tc>
      </w:tr>
      <w:tr>
        <w:trPr>
          <w:trHeight w:val="149"/>
        </w:trPr>
        <w:tc>
          <w:tcPr>
            <w:tcW w:w="744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44,676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42,667</w:t>
            </w:r>
          </w:p>
        </w:tc>
      </w:tr>
      <w:tr>
        <w:trPr>
          <w:trHeight w:val="168"/>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10,620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10,578</w:t>
            </w:r>
          </w:p>
        </w:tc>
      </w:tr>
      <w:tr>
        <w:trPr>
          <w:trHeight w:val="16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34,056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32,089</w:t>
            </w:r>
          </w:p>
        </w:tc>
      </w:tr>
      <w:tr>
        <w:trPr>
          <w:trHeight w:val="158"/>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assets ($683 and $313 related to VIEs, respectively)</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r>
      <w:tr>
        <w:trPr>
          <w:trHeight w:val="158"/>
        </w:trPr>
        <w:tc>
          <w:tcPr>
            <w:tcW w:w="7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assets</w:t>
            </w: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7,298</w:t>
            </w:r>
          </w:p>
        </w:tc>
      </w:tr>
      <w:tr>
        <w:trPr>
          <w:trHeight w:val="188"/>
        </w:trPr>
        <w:tc>
          <w:tcPr>
            <w:tcW w:w="74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46,534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43,768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 - (continued)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0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3400" w:type="dxa"/>
            <w:vAlign w:val="bottom"/>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(in millions, except par value and shares)</w:t>
            </w:r>
          </w:p>
        </w:tc>
        <w:tc>
          <w:tcPr>
            <w:tcW w:w="4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Short-term borrowings</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Indexed debt, net</w:t>
            </w:r>
          </w:p>
        </w:tc>
        <w:tc>
          <w:tcPr>
            <w:tcW w:w="14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accrued</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accrued ($7 and $2 related to VIEs, respectively)</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accrued</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Customer deposits ($2 and $0 related to VIEs, respectively)</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current liabilities ($15 and $0 related to VIEs, respectively)</w:t>
            </w: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6,260</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4,045</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4,389</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 obligations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w:t>
            </w: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8,555</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8,660</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long-term debt, net</w:t>
            </w: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19,902</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20,089</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long-term debt, net</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20,566</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20,397</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14)</w:t>
            </w: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$0.01 par value, 1,000,000,000 shares authorized, 652,869,575 shares and 651,727,276 shares outstanding, respectively</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1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11,153</w:t>
            </w:r>
          </w:p>
        </w:tc>
        <w:tc>
          <w:tcPr>
            <w:tcW w:w="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10,666</w:t>
            </w:r>
          </w:p>
        </w:tc>
      </w:tr>
      <w:tr>
        <w:trPr>
          <w:trHeight w:val="188"/>
        </w:trPr>
        <w:tc>
          <w:tcPr>
            <w:tcW w:w="7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46,534</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43,768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9" w:name="page110"/>
    <w:bookmarkEnd w:id="109"/>
    <w:p>
      <w:pPr>
        <w:ind w:left="3920"/>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STATEMENTS OF CONSOLIDATED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76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6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w:t>
            </w: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sale</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(gain) on equity securities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(gain) on indexed debt securities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Pension and postretirement contributions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r>
      <w:tr>
        <w:trPr>
          <w:trHeight w:val="172"/>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r>
      <w:tr>
        <w:trPr>
          <w:trHeight w:val="168"/>
        </w:trPr>
        <w:tc>
          <w:tcPr>
            <w:tcW w:w="67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r>
      <w:tr>
        <w:trPr>
          <w:trHeight w:val="172"/>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assets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w:t>
            </w:r>
          </w:p>
        </w:tc>
      </w:tr>
      <w:tr>
        <w:trPr>
          <w:trHeight w:val="168"/>
        </w:trPr>
        <w:tc>
          <w:tcPr>
            <w:tcW w:w="67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2"/>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assets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8"/>
        </w:trPr>
        <w:tc>
          <w:tcPr>
            <w:tcW w:w="67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8"/>
        </w:trPr>
        <w:tc>
          <w:tcPr>
            <w:tcW w:w="6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3,877</w:t>
            </w:r>
          </w:p>
        </w:tc>
      </w:tr>
      <w:tr>
        <w:trPr>
          <w:trHeight w:val="16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(4,401)</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for asset acquisition</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divestitures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8"/>
        </w:trPr>
        <w:tc>
          <w:tcPr>
            <w:tcW w:w="6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(4,233)</w:t>
            </w:r>
          </w:p>
        </w:tc>
      </w:tr>
      <w:tr>
        <w:trPr>
          <w:trHeight w:val="16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commercial paper, net</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loans,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6,044</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term loans, including make-whole premiums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dividends on Common Stock</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dividends on Preferred Stock</w:t>
            </w:r>
          </w:p>
        </w:tc>
        <w:tc>
          <w:tcPr>
            <w:tcW w:w="9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 net</w:t>
            </w:r>
          </w:p>
        </w:tc>
        <w:tc>
          <w:tcPr>
            <w:tcW w:w="9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of Series A Preferred Stock</w:t>
            </w:r>
          </w:p>
        </w:tc>
        <w:tc>
          <w:tcPr>
            <w:tcW w:w="9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8"/>
        </w:trPr>
        <w:tc>
          <w:tcPr>
            <w:tcW w:w="6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w:t>
            </w:r>
          </w:p>
        </w:tc>
      </w:tr>
      <w:tr>
        <w:trPr>
          <w:trHeight w:val="16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9"/>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87"/>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CONSOLIDATED CHANGES IN EQUITY</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Pr>
          <w:p>
            <w:pPr>
              <w:spacing w:after="0"/>
              <w:rPr>
                <w:sz w:val="14"/>
                <w:szCs w:val="14"/>
                <w:color w:val="auto"/>
              </w:rPr>
            </w:pPr>
          </w:p>
        </w:tc>
        <w:tc>
          <w:tcPr>
            <w:tcW w:w="1300" w:type="dxa"/>
            <w:vAlign w:val="bottom"/>
            <w:gridSpan w:val="4"/>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r>
      <w:tr>
        <w:trPr>
          <w:trHeight w:val="161"/>
        </w:trPr>
        <w:tc>
          <w:tcPr>
            <w:tcW w:w="5200" w:type="dxa"/>
            <w:vAlign w:val="bottom"/>
          </w:tcPr>
          <w:p>
            <w:pPr>
              <w:spacing w:after="0"/>
              <w:rPr>
                <w:sz w:val="14"/>
                <w:szCs w:val="14"/>
                <w:color w:val="auto"/>
              </w:rPr>
            </w:pPr>
          </w:p>
        </w:tc>
        <w:tc>
          <w:tcPr>
            <w:tcW w:w="1200" w:type="dxa"/>
            <w:vAlign w:val="bottom"/>
            <w:tcBorders>
              <w:top w:val="single" w:sz="8" w:color="auto"/>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gridSpan w:val="3"/>
          </w:tcPr>
          <w:p>
            <w:pPr>
              <w:jc w:val="right"/>
              <w:ind w:right="48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5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0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w w:val="99"/>
              </w:rPr>
              <w:t>(in millions of dollars and shares, except authorized shares and par value)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0"/>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Cumulative Preferred Stock, $0.01 par value; authorized 20,000,000 shares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12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r>
      <w:tr>
        <w:trPr>
          <w:trHeight w:val="168"/>
        </w:trPr>
        <w:tc>
          <w:tcPr>
            <w:tcW w:w="5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of Series A Preferred Stock</w:t>
            </w:r>
          </w:p>
        </w:tc>
        <w:tc>
          <w:tcPr>
            <w:tcW w:w="120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3"/>
          </w:tcPr>
          <w:p>
            <w:pPr>
              <w:jc w:val="right"/>
              <w:ind w:right="26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r>
      <w:tr>
        <w:trPr>
          <w:trHeight w:val="16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$0.01 par value; authorized 1,000,000,000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5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Issuances of Common Stock</w:t>
            </w:r>
          </w:p>
        </w:tc>
        <w:tc>
          <w:tcPr>
            <w:tcW w:w="120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8,568</w:t>
            </w:r>
          </w:p>
        </w:tc>
      </w:tr>
      <w:tr>
        <w:trPr>
          <w:trHeight w:val="17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Issuances of Common Stock, net of issuance costs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w:t>
            </w:r>
          </w:p>
        </w:tc>
      </w:tr>
      <w:tr>
        <w:trPr>
          <w:trHeight w:val="15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68"/>
        </w:trPr>
        <w:tc>
          <w:tcPr>
            <w:tcW w:w="5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r>
      <w:tr>
        <w:trPr>
          <w:trHeight w:val="17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dividends declared (see Note 11)</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r>
      <w:tr>
        <w:trPr>
          <w:trHeight w:val="168"/>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Series A Preferred Stock dividends declared (see Note 11)</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r>
      <w:tr>
        <w:trPr>
          <w:trHeight w:val="15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8"/>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0"/>
        </w:trPr>
        <w:tc>
          <w:tcPr>
            <w:tcW w:w="52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11,153</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9,667</w:t>
            </w:r>
          </w:p>
        </w:tc>
      </w:tr>
      <w:tr>
        <w:trPr>
          <w:trHeight w:val="20"/>
        </w:trPr>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Member of CenterPoint Energy Houston Electric, LLC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CenterPoint Energy Houston Electric, LLC and subsidiaries (an indirect wholly-owned subsidiary of CenterPoint Energy, Inc.) (the "Company") as of December 31, 2025 and 2024, the related statements of consolidated income,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91" w:lineRule="exact"/>
        <w:rPr>
          <w:sz w:val="20"/>
          <w:szCs w:val="20"/>
          <w:color w:val="auto"/>
        </w:rPr>
      </w:pPr>
    </w:p>
    <w:p>
      <w:pPr>
        <w:ind w:right="540"/>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Rate Regulation on the Financial Statements — Refer to Note 7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The Company is subject to rate regulation by the Public Utility Commission of Texas (“PUCT”), which has jurisdiction with respect to the rates of electric transmission and distribution companies in Texas. Management has determined it meets the requirements under accounting principles generally accepted in the United States of America to prepare its financial statements applying the specialized rules to account for the effects of cost-based rate regulation. The impacts of accounting for the economics of rate regulation are pervasive to the financial statements and disclosures.</w:t>
      </w:r>
    </w:p>
    <w:p>
      <w:pPr>
        <w:spacing w:after="0" w:line="15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The Company’s rates are subject to regulatory rate-setting processes by the PUCT.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in rates. The PUCT’s regulation of rates is premised on the full recovery of prudently incurred costs and a reasonable rate of return on invested capital. Decisions to be made by the PUCT in the future will impact the accounting for regulated operations, including decisions about the amount of allowable costs and return on invested capital included in rates and any refunds that may be required. While the Company has indicated it expects to recover costs from customers through regulated rates, there is a risk that the PUCT will not approve: (1)</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color w:val="auto"/>
        </w:rPr>
        <w:t>full recovery of the costs of providing utility service, or (2) full recovery of all amounts invested in the utility business and a reasonable return on that investment.</w:t>
      </w:r>
    </w:p>
    <w:p>
      <w:pPr>
        <w:spacing w:after="0" w:line="18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identified rate regulation as a critical audit matter due to the significant judgments made by management to support its assertions about certain affected account balances and disclosures and the high degree of subjectivity involved in assessing the impact of regulatory actions on the financial statements. Management’s judgments include assessing the likelihood of (1) recovery in future rates of incurred costs, (2) a disallowance of capital investments made by the Company, and (3) refunds to customers. Given that certain of management’s accounting judgments are based on assumptions about the outcome of decisions by the PUCT, auditing these judgments required specialized knowledge of accounting for rate regulation and the rate setting process.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potential uncertainty of decisions by the PUCT included the following, among others:</w:t>
      </w:r>
    </w:p>
    <w:p>
      <w:pPr>
        <w:spacing w:after="0" w:line="179"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disclosures related to the effects of rate regulation by testing certain recorded balances and evaluating regulatory developments.</w:t>
      </w:r>
    </w:p>
    <w:p>
      <w:pPr>
        <w:spacing w:after="0" w:line="189" w:lineRule="exact"/>
        <w:rPr>
          <w:rFonts w:ascii="Times New Roman" w:cs="Times New Roman" w:eastAsia="Times New Roman" w:hAnsi="Times New Roman"/>
          <w:sz w:val="14"/>
          <w:szCs w:val="14"/>
          <w:color w:val="auto"/>
        </w:rPr>
      </w:pPr>
    </w:p>
    <w:p>
      <w:pPr>
        <w:ind w:left="260" w:right="440" w:hanging="255"/>
        <w:spacing w:after="0" w:line="271" w:lineRule="auto"/>
        <w:tabs>
          <w:tab w:leader="none" w:pos="25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relevant regulatory orders issued by the PUCT, regulatory statutes, filings made by the Company and intervenors, and other external information. We evaluated relevant external information and compared it to certain recorded regulatory asset and liability balances for completeness.</w:t>
      </w:r>
    </w:p>
    <w:p>
      <w:pPr>
        <w:spacing w:after="0" w:line="145" w:lineRule="exact"/>
        <w:rPr>
          <w:rFonts w:ascii="Times New Roman" w:cs="Times New Roman" w:eastAsia="Times New Roman" w:hAnsi="Times New Roman"/>
          <w:sz w:val="14"/>
          <w:szCs w:val="14"/>
          <w:color w:val="auto"/>
        </w:rPr>
      </w:pPr>
    </w:p>
    <w:p>
      <w:pPr>
        <w:ind w:left="260" w:right="100" w:hanging="255"/>
        <w:spacing w:after="0" w:line="271" w:lineRule="auto"/>
        <w:tabs>
          <w:tab w:leader="none" w:pos="25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regulatory matters, we inspected the Company’s filings with the PUCT to assess the likelihood of recovery in future rates or of a future reduction in rates based on precedents of the PUCT’s treatment of similar costs under similar circumstances.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1932.</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19" w:right="3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CONSOLIDATED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3,677</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2,683</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net</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STATEMENTS OF CONSOLIDATED COMPREHENSIVE INCOME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1"/>
        </w:trPr>
        <w:tc>
          <w:tcPr>
            <w:tcW w:w="672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48"/>
        </w:trPr>
        <w:tc>
          <w:tcPr>
            <w:tcW w:w="6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2"/>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of $0, $0 and $0)</w:t>
            </w: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0"/>
        </w:trPr>
        <w:tc>
          <w:tcPr>
            <w:tcW w:w="7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($25 and $14 related to VIEs, respectively)</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w:t>
            </w:r>
          </w:p>
        </w:tc>
        <w:tc>
          <w:tcPr>
            <w:tcW w:w="4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and notes receivable, net ($5 and $0 related to VIEs, respectively), less allowance for credit losses of $2 and $2, respectively</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Accrued unbilled revenues ($3 and $0 related to VIEs, respectively)</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and notes receivable—affiliated companies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Materials and supplies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 ($4 and $0 related to VIEs, respectively)</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930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1,265</w:t>
            </w:r>
          </w:p>
        </w:tc>
        <w:tc>
          <w:tcPr>
            <w:tcW w:w="0" w:type="dxa"/>
            <w:vAlign w:val="bottom"/>
          </w:tcPr>
          <w:p>
            <w:pPr>
              <w:spacing w:after="0"/>
              <w:rPr>
                <w:sz w:val="1"/>
                <w:szCs w:val="1"/>
                <w:color w:val="auto"/>
              </w:rPr>
            </w:pP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23,947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21,750</w:t>
            </w: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4,944</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4,628</w:t>
            </w: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19,003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17,122</w:t>
            </w:r>
          </w:p>
        </w:tc>
        <w:tc>
          <w:tcPr>
            <w:tcW w:w="0" w:type="dxa"/>
            <w:vAlign w:val="bottom"/>
          </w:tcPr>
          <w:p>
            <w:pPr>
              <w:spacing w:after="0"/>
              <w:rPr>
                <w:sz w:val="1"/>
                <w:szCs w:val="1"/>
                <w:color w:val="auto"/>
              </w:rPr>
            </w:pPr>
          </w:p>
        </w:tc>
      </w:tr>
      <w:tr>
        <w:trPr>
          <w:trHeight w:val="15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 ($384 and $0 related to VIEs, respectively)</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1,612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1,284</w:t>
            </w: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1,645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1,325</w:t>
            </w:r>
          </w:p>
        </w:tc>
        <w:tc>
          <w:tcPr>
            <w:tcW w:w="0" w:type="dxa"/>
            <w:vAlign w:val="bottom"/>
          </w:tcPr>
          <w:p>
            <w:pPr>
              <w:spacing w:after="0"/>
              <w:rPr>
                <w:sz w:val="1"/>
                <w:szCs w:val="1"/>
                <w:color w:val="auto"/>
              </w:rPr>
            </w:pPr>
          </w:p>
        </w:tc>
      </w:tr>
      <w:tr>
        <w:trPr>
          <w:trHeight w:val="160"/>
        </w:trPr>
        <w:tc>
          <w:tcPr>
            <w:tcW w:w="74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21,578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19,712</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Short-term borrowings</w:t>
            </w:r>
          </w:p>
        </w:tc>
        <w:tc>
          <w:tcPr>
            <w:tcW w:w="3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and notes payable—affiliated companies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 accrued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accrued ($5 and $0 related to VIEs, respectively)</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current liabilities ($17 and $0 related to VIEs, respectively)</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Liabilities: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 obligations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Long-Term Debt, net: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long-term debt, net</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long-term debt, net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member’s equity</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7,532</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20" w:type="dxa"/>
            <w:vAlign w:val="bottom"/>
            <w:tcBorders>
              <w:bottom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STATEMENTS OF CONSOLIDATED CASH FLOWS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76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6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w:t>
            </w:r>
          </w:p>
        </w:tc>
      </w:tr>
      <w:tr>
        <w:trPr>
          <w:trHeight w:val="168"/>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2"/>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7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2"/>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8"/>
        </w:trPr>
        <w:tc>
          <w:tcPr>
            <w:tcW w:w="67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67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assets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72"/>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6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3"/>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w:t>
            </w:r>
          </w:p>
        </w:tc>
      </w:tr>
      <w:tr>
        <w:trPr>
          <w:trHeight w:val="158"/>
        </w:trPr>
        <w:tc>
          <w:tcPr>
            <w:tcW w:w="6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Decrease (increase) in notes receivable–affiliated companies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6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(2,503)</w:t>
            </w:r>
          </w:p>
        </w:tc>
      </w:tr>
      <w:tr>
        <w:trPr>
          <w:trHeight w:val="16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long-term debt</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 (decrease) in notes payable–affiliated companies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6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 to parent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72"/>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r>
      <w:tr>
        <w:trPr>
          <w:trHeight w:val="168"/>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w:t>
            </w:r>
          </w:p>
        </w:tc>
      </w:tr>
      <w:tr>
        <w:trPr>
          <w:trHeight w:val="158"/>
        </w:trPr>
        <w:tc>
          <w:tcPr>
            <w:tcW w:w="6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the Period</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62"/>
        </w:trPr>
        <w:tc>
          <w:tcPr>
            <w:tcW w:w="6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Period</w:t>
            </w: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CONSOLIDATED CHANGES IN EQUITY</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Pr>
          <w:p>
            <w:pPr>
              <w:spacing w:after="0"/>
              <w:rPr>
                <w:sz w:val="14"/>
                <w:szCs w:val="14"/>
                <w:color w:val="auto"/>
              </w:rPr>
            </w:pPr>
          </w:p>
        </w:tc>
        <w:tc>
          <w:tcPr>
            <w:tcW w:w="1300" w:type="dxa"/>
            <w:vAlign w:val="bottom"/>
            <w:gridSpan w:val="4"/>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Pr>
          <w:p>
            <w:pPr>
              <w:spacing w:after="0"/>
              <w:rPr>
                <w:sz w:val="14"/>
                <w:szCs w:val="14"/>
                <w:color w:val="auto"/>
              </w:rPr>
            </w:pPr>
          </w:p>
        </w:tc>
        <w:tc>
          <w:tcPr>
            <w:tcW w:w="1300" w:type="dxa"/>
            <w:vAlign w:val="bottom"/>
            <w:gridSpan w:val="4"/>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r>
      <w:tr>
        <w:trPr>
          <w:trHeight w:val="161"/>
        </w:trPr>
        <w:tc>
          <w:tcPr>
            <w:tcW w:w="5200" w:type="dxa"/>
            <w:vAlign w:val="bottom"/>
          </w:tcPr>
          <w:p>
            <w:pPr>
              <w:spacing w:after="0"/>
              <w:rPr>
                <w:sz w:val="14"/>
                <w:szCs w:val="14"/>
                <w:color w:val="auto"/>
              </w:rPr>
            </w:pPr>
          </w:p>
        </w:tc>
        <w:tc>
          <w:tcPr>
            <w:tcW w:w="104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5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(in millions, except share amounts)</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0"/>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3,860</w:t>
            </w:r>
          </w:p>
        </w:tc>
      </w:tr>
      <w:tr>
        <w:trPr>
          <w:trHeight w:val="17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r>
      <w:tr>
        <w:trPr>
          <w:trHeight w:val="15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4,745</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r>
      <w:tr>
        <w:trPr>
          <w:trHeight w:val="17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r>
      <w:tr>
        <w:trPr>
          <w:trHeight w:val="168"/>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 to parent</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w:t>
            </w:r>
          </w:p>
        </w:tc>
      </w:tr>
      <w:tr>
        <w:trPr>
          <w:trHeight w:val="149"/>
        </w:trPr>
        <w:tc>
          <w:tcPr>
            <w:tcW w:w="52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2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7,532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6,109</w:t>
            </w:r>
          </w:p>
        </w:tc>
      </w:tr>
      <w:tr>
        <w:trPr>
          <w:trHeight w:val="20"/>
        </w:trPr>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 of CenterPoint Energy Resources Corp.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CenterPoint Energy Resources Corp. and subsidiaries (an indirect wholly-owned subsidiary of CenterPoint Energy, Inc.) (the "Company") as of December 31, 2025 and 2024, the related statements of consolidated income,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91" w:lineRule="exact"/>
        <w:rPr>
          <w:sz w:val="20"/>
          <w:szCs w:val="20"/>
          <w:color w:val="auto"/>
        </w:rPr>
      </w:pPr>
    </w:p>
    <w:p>
      <w:pPr>
        <w:ind w:right="540"/>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Rate Regulation on the Financial Statements — Refer to Note 7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4"/>
          <w:szCs w:val="14"/>
          <w:color w:val="auto"/>
        </w:rPr>
        <w:t>The Company is subject to rate regulation by regulators and commissions in various jurisdictions (collectively, the “Commissions”) that have jurisdiction with respect to the rates of gas transmission and distribution companies in those jurisdictions. Management has determined its regulated operations meet the requirements under accounting principles generally accepted in the United States of America to prepare its financial statements applying the specialized rules to account for the effects of cost-based rate regulation. The impacts of accounting for the economics of rate regulation are pervasive to the financial statements and disclosures.</w:t>
      </w:r>
    </w:p>
    <w:p>
      <w:pPr>
        <w:spacing w:after="0" w:line="16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The Company’s rates are subject to regulatory rate-setting processes by the Commissions.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in rates. The Commissions’ regulation of rates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19" w:name="page120"/>
    <w:bookmarkEnd w:id="119"/>
    <w:p>
      <w:pPr>
        <w:ind w:right="260"/>
        <w:spacing w:after="0" w:line="271" w:lineRule="auto"/>
        <w:rPr>
          <w:sz w:val="20"/>
          <w:szCs w:val="20"/>
          <w:color w:val="auto"/>
        </w:rPr>
      </w:pPr>
      <w:r>
        <w:rPr>
          <w:rFonts w:ascii="Times New Roman" w:cs="Times New Roman" w:eastAsia="Times New Roman" w:hAnsi="Times New Roman"/>
          <w:sz w:val="14"/>
          <w:szCs w:val="14"/>
          <w:color w:val="auto"/>
        </w:rPr>
        <w:t>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1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identified rate regulation as a critical audit matter due to the significant judgments made by management to support its assertions about certain affected account balances and disclosures and the high degree of subjectivity involved in assessing the impact of regulatory actions on the financial statements. Management’s judgments include assessing the likelihood of (1) recovery in future rates of incurred costs, (2) a disallowance of capital investments made by the Company and (3) refunds to customers. Given that certain of management’s accounting judgments are based on assumptions about the outcome of decisions by the Commissions, auditing these judgments required specialized knowledge of accounting for rate regulation and the rate setting process.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potential uncertainty of decisions by the Commissions included the following, among others:</w:t>
      </w:r>
    </w:p>
    <w:p>
      <w:pPr>
        <w:spacing w:after="0" w:line="189"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disclosures related to the effects of rate regulation by testing certain recorded balances and evaluating regulatory developments.</w:t>
      </w:r>
    </w:p>
    <w:p>
      <w:pPr>
        <w:spacing w:after="0" w:line="189" w:lineRule="exact"/>
        <w:rPr>
          <w:rFonts w:ascii="Times New Roman" w:cs="Times New Roman" w:eastAsia="Times New Roman" w:hAnsi="Times New Roman"/>
          <w:sz w:val="14"/>
          <w:szCs w:val="14"/>
          <w:color w:val="auto"/>
        </w:rPr>
      </w:pPr>
    </w:p>
    <w:p>
      <w:pPr>
        <w:ind w:left="260" w:right="40" w:hanging="255"/>
        <w:spacing w:after="0" w:line="271" w:lineRule="auto"/>
        <w:tabs>
          <w:tab w:leader="none" w:pos="25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relevant regulatory orders issued by the Commissions, regulatory statutes, filings made by the Company and intervenors, and other external information. We evaluated relevant external information and compared it to certain recorded regulatory asset and liability balances for completeness.</w:t>
      </w:r>
    </w:p>
    <w:p>
      <w:pPr>
        <w:spacing w:after="0" w:line="145" w:lineRule="exact"/>
        <w:rPr>
          <w:rFonts w:ascii="Times New Roman" w:cs="Times New Roman" w:eastAsia="Times New Roman" w:hAnsi="Times New Roman"/>
          <w:sz w:val="14"/>
          <w:szCs w:val="14"/>
          <w:color w:val="auto"/>
        </w:rPr>
      </w:pPr>
    </w:p>
    <w:p>
      <w:pPr>
        <w:ind w:left="260" w:right="60" w:hanging="255"/>
        <w:spacing w:after="0" w:line="271" w:lineRule="auto"/>
        <w:tabs>
          <w:tab w:leader="none" w:pos="25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regulatory matters, we inspected the Company’s filings with the Commissions to assess the likelihood of recovery in future rates or of a future reduction in rates based on precedents of the Commissions’ treatment of similar costs under similar circumstances.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1997.</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19" w:right="399" w:bottom="1440" w:gutter="0" w:footer="0" w:header="0"/>
        </w:sectPr>
      </w:pPr>
    </w:p>
    <w:bookmarkStart w:id="120" w:name="page121"/>
    <w:bookmarkEnd w:id="120"/>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STATEMENTS OF CONSOLIDATED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revenues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4,107</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Non-utility revenues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natural gas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3,499</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net</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1" w:name="page122"/>
    <w:bookmarkEnd w:id="121"/>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STATEMENTS OF CONSOLIDATED COMPREHENSIVE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benefit of $1, $0 and $0)</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20" w:type="dxa"/>
            <w:vAlign w:val="bottom"/>
          </w:tcPr>
          <w:p>
            <w:pPr>
              <w:spacing w:after="0"/>
              <w:rPr>
                <w:sz w:val="13"/>
                <w:szCs w:val="13"/>
                <w:color w:val="auto"/>
              </w:rPr>
            </w:pPr>
          </w:p>
        </w:tc>
      </w:tr>
      <w:tr>
        <w:trPr>
          <w:trHeight w:val="168"/>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r>
              <w:rPr>
                <w:rFonts w:ascii="Times New Roman" w:cs="Times New Roman" w:eastAsia="Times New Roman" w:hAnsi="Times New Roman"/>
                <w:sz w:val="13"/>
                <w:szCs w:val="13"/>
                <w:color w:val="auto"/>
              </w:rPr>
              <w:t>:</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 less allowance for credit losses of $19 and $24, respectively</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Accrued unbilled revenue, less allowance for credit losses of $2 and $2, respectively</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receivable—affiliated companies</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Material and supplies</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Natural gas inventory</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receivable</w:t>
            </w:r>
          </w:p>
        </w:tc>
        <w:tc>
          <w:tcPr>
            <w:tcW w:w="14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68"/>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w:t>
            </w:r>
          </w:p>
        </w:tc>
      </w:tr>
      <w:tr>
        <w:trPr>
          <w:trHeight w:val="149"/>
        </w:trPr>
        <w:tc>
          <w:tcPr>
            <w:tcW w:w="744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14,540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15,552</w:t>
            </w:r>
          </w:p>
        </w:tc>
      </w:tr>
      <w:tr>
        <w:trPr>
          <w:trHeight w:val="168"/>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4,146</w:t>
            </w:r>
          </w:p>
        </w:tc>
      </w:tr>
      <w:tr>
        <w:trPr>
          <w:trHeight w:val="16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10,720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11,406</w:t>
            </w:r>
          </w:p>
        </w:tc>
      </w:tr>
      <w:tr>
        <w:trPr>
          <w:trHeight w:val="158"/>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r>
      <w:tr>
        <w:trPr>
          <w:trHeight w:val="168"/>
        </w:trPr>
        <w:tc>
          <w:tcPr>
            <w:tcW w:w="7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w:t>
            </w:r>
          </w:p>
        </w:tc>
      </w:tr>
      <w:tr>
        <w:trPr>
          <w:trHeight w:val="172"/>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58"/>
        </w:trPr>
        <w:tc>
          <w:tcPr>
            <w:tcW w:w="7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assets</w:t>
            </w: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2,482</w:t>
            </w:r>
          </w:p>
        </w:tc>
      </w:tr>
      <w:tr>
        <w:trPr>
          <w:trHeight w:val="188"/>
        </w:trPr>
        <w:tc>
          <w:tcPr>
            <w:tcW w:w="74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16,264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123" w:name="page124"/>
    <w:bookmarkEnd w:id="123"/>
    <w:p>
      <w:pPr>
        <w:jc w:val="cente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CENTERPOINT ENERGY RESOURCES CORP. AND SUBSIDIARIES (AN INDIRECT, WHOLLY-OWNED SUBSIDIARY OF CENTERPOINT ENERGY, INC.) CONSOLIDATED BALANCE SHEETS - (continued)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20" w:type="dxa"/>
            <w:vAlign w:val="bottom"/>
          </w:tcPr>
          <w:p>
            <w:pPr>
              <w:spacing w:after="0"/>
              <w:rPr>
                <w:sz w:val="13"/>
                <w:szCs w:val="13"/>
                <w:color w:val="auto"/>
              </w:rPr>
            </w:pPr>
          </w:p>
        </w:tc>
      </w:tr>
      <w:tr>
        <w:trPr>
          <w:trHeight w:val="16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and notes payable—affiliated companies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 accrued</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accrued</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Customer deposits</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r>
      <w:tr>
        <w:trPr>
          <w:trHeight w:val="163"/>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r>
      <w:tr>
        <w:trPr>
          <w:trHeight w:val="15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 obligations</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w:t>
            </w:r>
          </w:p>
        </w:tc>
      </w:tr>
      <w:tr>
        <w:trPr>
          <w:trHeight w:val="168"/>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w:t>
            </w:r>
          </w:p>
        </w:tc>
      </w:tr>
      <w:tr>
        <w:trPr>
          <w:trHeight w:val="163"/>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w:t>
            </w:r>
          </w:p>
        </w:tc>
      </w:tr>
      <w:tr>
        <w:trPr>
          <w:trHeight w:val="158"/>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5,174</w:t>
            </w:r>
          </w:p>
        </w:tc>
      </w:tr>
      <w:tr>
        <w:trPr>
          <w:trHeight w:val="15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14)</w:t>
            </w:r>
          </w:p>
        </w:tc>
        <w:tc>
          <w:tcPr>
            <w:tcW w:w="1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6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r>
      <w:tr>
        <w:trPr>
          <w:trHeight w:val="168"/>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3"/>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6,268</w:t>
            </w:r>
          </w:p>
        </w:tc>
      </w:tr>
      <w:tr>
        <w:trPr>
          <w:trHeight w:val="160"/>
        </w:trPr>
        <w:tc>
          <w:tcPr>
            <w:tcW w:w="718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46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16,264</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16,425</w:t>
            </w:r>
          </w:p>
        </w:tc>
      </w:tr>
      <w:tr>
        <w:trPr>
          <w:trHeight w:val="20"/>
        </w:trPr>
        <w:tc>
          <w:tcPr>
            <w:tcW w:w="7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727" w:right="439" w:bottom="1440" w:gutter="0" w:footer="0" w:header="0"/>
        </w:sectPr>
      </w:pPr>
    </w:p>
    <w:bookmarkStart w:id="124" w:name="page125"/>
    <w:bookmarkEnd w:id="124"/>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STATEMENTS OF CONSOLIDATED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6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68"/>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2"/>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sale</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r>
      <w:tr>
        <w:trPr>
          <w:trHeight w:val="16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2"/>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72"/>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assets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w:t>
            </w:r>
          </w:p>
        </w:tc>
      </w:tr>
      <w:tr>
        <w:trPr>
          <w:trHeight w:val="16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assets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2"/>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8"/>
        </w:trPr>
        <w:tc>
          <w:tcPr>
            <w:tcW w:w="6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2,312</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(1,619)</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(increase) in notes receivable–affiliated companies</w:t>
            </w:r>
          </w:p>
        </w:tc>
        <w:tc>
          <w:tcPr>
            <w:tcW w:w="9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divestitures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6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(1,643)</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(payments of) commercial paper, net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loans, net</w:t>
            </w:r>
          </w:p>
        </w:tc>
        <w:tc>
          <w:tcPr>
            <w:tcW w:w="9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term loans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 in notes payable-affiliated companies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9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 to parent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9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9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6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CONSOLIDATED CHANGES IN EQUITY</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Pr>
          <w:p>
            <w:pPr>
              <w:spacing w:after="0"/>
              <w:rPr>
                <w:sz w:val="14"/>
                <w:szCs w:val="14"/>
                <w:color w:val="auto"/>
              </w:rPr>
            </w:pPr>
          </w:p>
        </w:tc>
        <w:tc>
          <w:tcPr>
            <w:tcW w:w="1300" w:type="dxa"/>
            <w:vAlign w:val="bottom"/>
            <w:gridSpan w:val="4"/>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Pr>
          <w:p>
            <w:pPr>
              <w:spacing w:after="0"/>
              <w:rPr>
                <w:sz w:val="14"/>
                <w:szCs w:val="14"/>
                <w:color w:val="auto"/>
              </w:rPr>
            </w:pPr>
          </w:p>
        </w:tc>
        <w:tc>
          <w:tcPr>
            <w:tcW w:w="1300" w:type="dxa"/>
            <w:vAlign w:val="bottom"/>
            <w:gridSpan w:val="4"/>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r>
      <w:tr>
        <w:trPr>
          <w:trHeight w:val="161"/>
        </w:trPr>
        <w:tc>
          <w:tcPr>
            <w:tcW w:w="5200" w:type="dxa"/>
            <w:vAlign w:val="bottom"/>
          </w:tcPr>
          <w:p>
            <w:pPr>
              <w:spacing w:after="0"/>
              <w:rPr>
                <w:sz w:val="14"/>
                <w:szCs w:val="14"/>
                <w:color w:val="auto"/>
              </w:rPr>
            </w:pPr>
          </w:p>
        </w:tc>
        <w:tc>
          <w:tcPr>
            <w:tcW w:w="104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5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(in millions, except share amounts)</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0"/>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3,729</w:t>
            </w:r>
          </w:p>
        </w:tc>
      </w:tr>
      <w:tr>
        <w:trPr>
          <w:trHeight w:val="17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5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4,229</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w:t>
            </w:r>
          </w:p>
        </w:tc>
      </w:tr>
      <w:tr>
        <w:trPr>
          <w:trHeight w:val="17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68"/>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 to parent</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w:t>
            </w:r>
          </w:p>
        </w:tc>
      </w:tr>
      <w:tr>
        <w:trPr>
          <w:trHeight w:val="1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w:t>
            </w:r>
          </w:p>
        </w:tc>
      </w:tr>
      <w:tr>
        <w:trPr>
          <w:trHeight w:val="15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3"/>
        </w:trPr>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5,879</w:t>
            </w:r>
          </w:p>
        </w:tc>
      </w:tr>
      <w:tr>
        <w:trPr>
          <w:trHeight w:val="20"/>
        </w:trPr>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COMBINED 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Background and Basis of Presentation</w:t>
      </w:r>
    </w:p>
    <w:p>
      <w:pPr>
        <w:spacing w:after="0" w:line="200"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This combined Form 10-K is filed separately by three registrants: CenterPoint Energy, Inc., CenterPoint Energy Houston Electric, LLC and CenterPoint Energy Resources Corp.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contained herein relating to any individual Registrant is filed by such Registrant solely on its own behalf. No Registrant makes any representation as to information relating exclusively to the other Registrants or the subsidiaries of CenterPoint Energy, Inc. other than itself or its subsidiaries.</w:t>
      </w:r>
    </w:p>
    <w:p>
      <w:pPr>
        <w:spacing w:after="0" w:line="157"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Except as discussed in Note 12,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43" w:lineRule="exact"/>
        <w:rPr>
          <w:sz w:val="20"/>
          <w:szCs w:val="20"/>
          <w:color w:val="auto"/>
        </w:rPr>
      </w:pPr>
    </w:p>
    <w:p>
      <w:pPr>
        <w:jc w:val="both"/>
        <w:ind w:right="10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Included in this combined Form 10-K are the consolidated financial statements of the Registrants. The Combined Notes to the Consolidated Financial Statements apply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 Registrants and specific references to Houston Electric and CERC herein also pertain to CenterPoint Energy, unless otherwise indicated. Additionally, certain amounts from prior years have been reclassified to conform to the current presentation.</w:t>
      </w:r>
    </w:p>
    <w:p>
      <w:pPr>
        <w:spacing w:after="0" w:line="155"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Background. </w:t>
      </w:r>
      <w:r>
        <w:rPr>
          <w:rFonts w:ascii="Times New Roman" w:cs="Times New Roman" w:eastAsia="Times New Roman" w:hAnsi="Times New Roman"/>
          <w:sz w:val="14"/>
          <w:szCs w:val="14"/>
          <w:color w:val="auto"/>
        </w:rPr>
        <w:t>CenterPoint Energy is a public utility holding company. CenterPoint Energy’s operating subsidiaries own and operate electric transmission, distribution and generation facilities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natural gas distribution systems.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CenterPoint Energy’s indirect, wholly-owned operating subsidiaries included:</w:t>
      </w:r>
    </w:p>
    <w:p>
      <w:pPr>
        <w:spacing w:after="0" w:line="200" w:lineRule="exact"/>
        <w:rPr>
          <w:sz w:val="20"/>
          <w:szCs w:val="20"/>
          <w:color w:val="auto"/>
        </w:rPr>
      </w:pPr>
    </w:p>
    <w:p>
      <w:pPr>
        <w:ind w:left="520" w:right="220" w:hanging="260"/>
        <w:spacing w:after="0" w:line="287"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which provides electric transmission service to transmission service customers in the ERCOT region and distribution service to REPs serving the Texas Gulf Coast area that includes the city of Houston;</w:t>
      </w:r>
    </w:p>
    <w:p>
      <w:pPr>
        <w:spacing w:after="0" w:line="145" w:lineRule="exact"/>
        <w:rPr>
          <w:rFonts w:ascii="Times New Roman" w:cs="Times New Roman" w:eastAsia="Times New Roman" w:hAnsi="Times New Roman"/>
          <w:sz w:val="14"/>
          <w:szCs w:val="14"/>
          <w:color w:val="auto"/>
        </w:rPr>
      </w:pPr>
    </w:p>
    <w:p>
      <w:pPr>
        <w:ind w:left="520" w:right="220" w:hanging="260"/>
        <w:spacing w:after="0" w:line="270"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which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156"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which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45"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CenterPoint Energy’s reportable segments were Electric, Natural Gas, and Corporate and Other. Houston Electric and CERC each consist of a single reportable segment. For a description of CenterPoint Energy’s reportable segments, see Note 16.</w:t>
      </w:r>
    </w:p>
    <w:p>
      <w:pPr>
        <w:spacing w:after="0" w:line="145" w:lineRule="exact"/>
        <w:rPr>
          <w:sz w:val="20"/>
          <w:szCs w:val="20"/>
          <w:color w:val="auto"/>
        </w:rPr>
      </w:pPr>
    </w:p>
    <w:p>
      <w:pPr>
        <w:jc w:val="both"/>
        <w:ind w:right="40" w:firstLine="255"/>
        <w:spacing w:after="0" w:line="261" w:lineRule="auto"/>
        <w:rPr>
          <w:sz w:val="20"/>
          <w:szCs w:val="20"/>
          <w:color w:val="auto"/>
        </w:rPr>
      </w:pP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 approximately $357 million. On March 31, 2025, CenterPoint Energy, through its subsidiary CERC Corp., completed the sale of its Louisiana and Mississippi natural gas LDC businesses for approximately $1.2 billion. On October 20, 2025, CenterPoint Energy, through CERC Corp., entered into the Ohio Securities Purchase Agreement to sell all of the issued and outstanding equity interests in CEOH for total consideration of approximately $2.62 billion, subject to adjustment as set forth in the Ohio Securities Purchase Agreement. The transaction is expected to close in the fourth quarter of 2026, subject to the satisfaction of customary closing conditions. For further information, see Note 4.</w:t>
      </w:r>
    </w:p>
    <w:p>
      <w:pPr>
        <w:spacing w:after="0" w:line="162" w:lineRule="exact"/>
        <w:rPr>
          <w:sz w:val="20"/>
          <w:szCs w:val="20"/>
          <w:color w:val="auto"/>
        </w:rPr>
      </w:pPr>
    </w:p>
    <w:p>
      <w:pPr>
        <w:ind w:right="10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Principles of Consolidation. </w:t>
      </w:r>
      <w:r>
        <w:rPr>
          <w:rFonts w:ascii="Times New Roman" w:cs="Times New Roman" w:eastAsia="Times New Roman" w:hAnsi="Times New Roman"/>
          <w:sz w:val="14"/>
          <w:szCs w:val="14"/>
          <w:color w:val="auto"/>
        </w:rPr>
        <w:t>The accompanying consolidated financial statements are prepared in conformity with GAAP. The accounts of the Registrants and their wholly-owned and majority-owned and controlled subsidiaries are included in the consolidated financial statements. All intercompany transactions and balances are eliminated in consolidation; however, intercompany profits have not been eliminated when such amounts are probable of recovery under the affiliates’ rate regulation process.</w:t>
      </w:r>
    </w:p>
    <w:p>
      <w:pPr>
        <w:spacing w:after="0" w:line="157"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CenterPoint Energy, Houston Electric and SIGECO had VIEs including Transition Bond Company IV, Restoration Bond Company II and the SIGECO Securitization Subsidiary, which are consolidated. The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27" w:name="page128"/>
    <w:bookmarkEnd w:id="127"/>
    <w:p>
      <w:pPr>
        <w:spacing w:after="0" w:line="259" w:lineRule="auto"/>
        <w:rPr>
          <w:sz w:val="20"/>
          <w:szCs w:val="20"/>
          <w:color w:val="auto"/>
        </w:rPr>
      </w:pPr>
      <w:r>
        <w:rPr>
          <w:rFonts w:ascii="Times New Roman" w:cs="Times New Roman" w:eastAsia="Times New Roman" w:hAnsi="Times New Roman"/>
          <w:sz w:val="14"/>
          <w:szCs w:val="14"/>
          <w:color w:val="auto"/>
        </w:rPr>
        <w:t>consolidated VIEs are wholly-owned, bankruptcy-remote, special purpose entities that were formed solely for the purpose of securitizing transition property or system restoration property or facilitating the securitization financing of qualified costs. CenterPoint Energy, through SIGECO, has a controlling financial interest in the SIGECO Securitization Subsidiary and is its primary beneficiary. Houston Electric has a controlling financial interest in each of Transition Bond Company IV and Restoration Bond Company II and is the primary beneficiary of each. Creditors of CenterPoint Energy, Houston Electric and SIGECO have no recourse to any assets or revenues of Transition Bond Company IV and Restoration Bond Company II or the SIGECO Securitization Subsidiary, as applicable. The Securitization Bonds issued by these VIEs are payable only from and secured by transition property, system restoration property or securitization property, as applicable, and the bondholders have no recourse to the general credit of CenterPoint Energy, Houston Electric or SIGECO. For further information, see Note 7.</w:t>
      </w:r>
    </w:p>
    <w:p>
      <w:pPr>
        <w:spacing w:after="0" w:line="165" w:lineRule="exact"/>
        <w:rPr>
          <w:sz w:val="20"/>
          <w:szCs w:val="20"/>
          <w:color w:val="auto"/>
        </w:rPr>
      </w:pPr>
    </w:p>
    <w:p>
      <w:pPr>
        <w:ind w:left="200" w:hanging="195"/>
        <w:spacing w:after="0"/>
        <w:tabs>
          <w:tab w:leader="none" w:pos="20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99" w:lineRule="exact"/>
        <w:rPr>
          <w:rFonts w:ascii="Times New Roman" w:cs="Times New Roman" w:eastAsia="Times New Roman" w:hAnsi="Times New Roman"/>
          <w:sz w:val="14"/>
          <w:szCs w:val="14"/>
          <w:b w:val="1"/>
          <w:bCs w:val="1"/>
          <w:color w:val="auto"/>
        </w:rPr>
      </w:pPr>
    </w:p>
    <w:p>
      <w:pPr>
        <w:ind w:left="320" w:hanging="188"/>
        <w:spacing w:after="0"/>
        <w:tabs>
          <w:tab w:leader="none" w:pos="320" w:val="left"/>
        </w:tabs>
        <w:numPr>
          <w:ilvl w:val="1"/>
          <w:numId w:val="4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(b) Revenues</w:t>
      </w:r>
    </w:p>
    <w:p>
      <w:pPr>
        <w:spacing w:after="0" w:line="20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Registrants record revenue for electricity delivery and natural gas sales and services under the accrual method and these revenues are recognized upon delivery to customers. Electricity deliveries not billed by month-end are accrued based on actual AMS meter data, supply volumes, estimated line loss and applicable tariff rates. Natural gas sales not billed by month-end are accrued based upon estimated purchased gas volumes, estimated lost and unaccounted for gas and currently effective tariff rates. For further discussion, see Note 5.</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 MISO Transactions</w:t>
      </w:r>
    </w:p>
    <w:p>
      <w:pPr>
        <w:spacing w:after="0" w:line="202"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Indiana Electric is a member of the MISO. MISO-related purchase and sale transactions are recorded using settlement information provided by the MISO. These purchase and sale transactions are accounted for on at least a net hourly position, in which net purchases within that interval are recorded as Utility natural gas, fuel and purchased power and net sales within that interval are recorded as Utility revenues on CenterPoint Energy’s Statements of Consolidated Income. On occasion, prior period transactions are resettled outside the routine process due to a change in the MISO’s tariff or a material interpretation thereof. Expenses associated with resettlements are recorded once the resettlement is probable and the resettlement amount can be estimated. Revenues associated with resettlements are recognized when the amount is determinable and collectability is reasonably assured.</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 Environmental Costs</w:t>
      </w:r>
    </w:p>
    <w:p>
      <w:pPr>
        <w:spacing w:after="0" w:line="20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Registrants (i) expense or capitalize environmental expenditures, as appropriate, depending on their future economic benefit; (ii) expense amounts that relate to an existing condition caused by past operations that do not have future economic benefit; and (iii) record undiscounted liabilities related to these future costs when environmental assessments and/or remediation activities are probable and the costs can be reasonably estimated.</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 Cash and Cash Equivalents and Restricted Cash</w:t>
      </w:r>
    </w:p>
    <w:p>
      <w:pPr>
        <w:spacing w:after="0" w:line="202"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For purposes of reporting cash flows, the Registrants consider cash equivalents to be short-term, highly-liquid investments with maturities of three months or less from the date of purchase. Cash and cash equivalents held by the Bond Companies and the SIGECO Securitization Subsidiary solely to support servicing the Securitization Bonds as of December 31, 2025 and 2024 are reflected on CenterPoint Energy’s and Houston Electric’s Consolidated Balance Sheets.</w:t>
      </w:r>
    </w:p>
    <w:p>
      <w:pPr>
        <w:spacing w:after="0" w:line="157"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issuance of Securitization Bonds, CenterPoint Energy and Houston Electric were required to establish restricted cash accounts to collateralize the bonds that were issued in these financing transactions. These restricted cash accounts are not available for withdrawal until the maturity of the bonds and are not included in cash and cash equivalents. For more information on restricted cash, see Note 17.</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8" w:name="page129"/>
    <w:bookmarkEnd w:id="128"/>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 Accounts Receivable and Allowance for Credit Losses</w:t>
      </w:r>
    </w:p>
    <w:p>
      <w:pPr>
        <w:spacing w:after="0" w:line="202" w:lineRule="exact"/>
        <w:rPr>
          <w:sz w:val="20"/>
          <w:szCs w:val="20"/>
          <w:color w:val="auto"/>
        </w:rPr>
      </w:pPr>
    </w:p>
    <w:p>
      <w:pPr>
        <w:ind w:right="360" w:firstLine="255"/>
        <w:spacing w:after="0" w:line="270" w:lineRule="auto"/>
        <w:rPr>
          <w:sz w:val="20"/>
          <w:szCs w:val="20"/>
          <w:color w:val="auto"/>
        </w:rPr>
      </w:pPr>
      <w:r>
        <w:rPr>
          <w:rFonts w:ascii="Times New Roman" w:cs="Times New Roman" w:eastAsia="Times New Roman" w:hAnsi="Times New Roman"/>
          <w:sz w:val="14"/>
          <w:szCs w:val="14"/>
          <w:color w:val="auto"/>
        </w:rPr>
        <w:t>Accounts receivable are recorded at the invoiced amount and do not bear interest. Management reviews historical write-offs, current available information and reasonable and supportable forecasts to estimate and establish allowance for credit losses. Account balances are charged off against the allowance when management determines it is probable that the receivable will not be recovered. See Note 7 for further information about regulatory deferrals of bad debt expense, including those related to the February 2021 Winter Storm Event.</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 Inventory</w:t>
      </w:r>
    </w:p>
    <w:p>
      <w:pPr>
        <w:spacing w:after="0" w:line="20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Registrants’ inventory consists principally of materials and supplies, and for CERC, natural gas, and for CenterPoint Energy, coal inventory. Materials and supplies are valued at the lower of average cost or market, are recorded to inventory when purchased and subsequently charged to expense or capitalized to plant when installed. Inventory related to CenterPoint Energy’s regulated operations is valued at historical cost consistent with ratemaking treatment. Coal inventory is valued at average cost. Certain natural gas in storage at CenterPoint Energy’s and CERC’s utilities are recorded using the last in, first out (LIFO) method. CenterPoint Energy’s and CERC’s balances in inventory that were valued using LIFO method were as follows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 (1)</w:t>
            </w: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 (1)</w:t>
            </w: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52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6"/>
              </w:rPr>
              <w:t>CenterPoint Energy</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60" w:type="dxa"/>
            <w:vAlign w:val="bottom"/>
            <w:tcBorders>
              <w:bottom w:val="single" w:sz="8" w:color="auto"/>
            </w:tcBorders>
          </w:tcPr>
          <w:p>
            <w:pPr>
              <w:spacing w:after="0"/>
              <w:rPr>
                <w:sz w:val="13"/>
                <w:szCs w:val="13"/>
                <w:color w:val="auto"/>
              </w:rPr>
            </w:pPr>
          </w:p>
        </w:tc>
      </w:tr>
      <w:tr>
        <w:trPr>
          <w:trHeight w:val="160"/>
        </w:trPr>
        <w:tc>
          <w:tcPr>
            <w:tcW w:w="5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20" w:type="dxa"/>
            <w:vAlign w:val="bottom"/>
            <w:gridSpan w:val="3"/>
          </w:tcPr>
          <w:p>
            <w:pPr>
              <w:jc w:val="center"/>
              <w:ind w:right="61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LIFO inventory</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104</w:t>
            </w:r>
          </w:p>
        </w:tc>
        <w:tc>
          <w:tcPr>
            <w:tcW w:w="108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84</w:t>
            </w: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bl>
    <w:p>
      <w:pPr>
        <w:spacing w:after="0" w:line="251" w:lineRule="exact"/>
        <w:rPr>
          <w:sz w:val="20"/>
          <w:szCs w:val="20"/>
          <w:color w:val="auto"/>
        </w:rPr>
      </w:pPr>
    </w:p>
    <w:p>
      <w:pPr>
        <w:ind w:left="520" w:right="20" w:hanging="260"/>
        <w:spacing w:after="0" w:line="287" w:lineRule="auto"/>
        <w:tabs>
          <w:tab w:leader="none" w:pos="515"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average cost of gas purchased during December 2025, both CenterPoint Energy’s and CERC’s cost of replacing inventories carried at LIFO cost was $16 million higher than the carrying value at December 31, 2025.</w:t>
      </w:r>
    </w:p>
    <w:p>
      <w:pPr>
        <w:spacing w:after="0" w:line="143" w:lineRule="exact"/>
        <w:rPr>
          <w:rFonts w:ascii="Times New Roman" w:cs="Times New Roman" w:eastAsia="Times New Roman" w:hAnsi="Times New Roman"/>
          <w:sz w:val="14"/>
          <w:szCs w:val="14"/>
          <w:color w:val="auto"/>
        </w:rPr>
      </w:pPr>
    </w:p>
    <w:p>
      <w:pPr>
        <w:ind w:left="340" w:hanging="208"/>
        <w:spacing w:after="0"/>
        <w:tabs>
          <w:tab w:leader="none" w:pos="340" w:val="left"/>
        </w:tabs>
        <w:numPr>
          <w:ilvl w:val="0"/>
          <w:numId w:val="5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Long-lived Assets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record property, plant and equipment at historical cost and expense repair and maintenance costs as incurred.</w:t>
      </w:r>
    </w:p>
    <w:p>
      <w:pPr>
        <w:spacing w:after="0" w:line="200"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Registrants periodically evaluate long-lived assets, including property, plant and equipment, when events or changes in circumstances indicate that the carrying value of these assets may not be recoverable. For rate-regulated businesses, recoverability of long-lived assets is assessed by determining if a capital disallowance from a regulator is probable through monitoring the outcome of rate cases and other proceedings. For businesses that are not rate-regulated, recoverability is assessed based on an estimate of undiscounted cash flows attributable to the assets compared to the carrying value of the assets. No long-lived asset impairments were recorded in 2025, 2024 or 2023.</w:t>
      </w:r>
    </w:p>
    <w:p>
      <w:pPr>
        <w:spacing w:after="0" w:line="162" w:lineRule="exact"/>
        <w:rPr>
          <w:sz w:val="20"/>
          <w:szCs w:val="20"/>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The Registrants compute depreciation and amortization using the straight-line method based on economic lives or regulatory-mandated recovery periods. Amortization expense includes amortization of certain regulatory assets.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 Goodwill</w:t>
      </w:r>
    </w:p>
    <w:p>
      <w:pPr>
        <w:spacing w:after="0" w:line="20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CenterPoint Energy and CERC perform goodwill impairment tests at least annually and evaluate goodwill when events or changes in circumstances indicate that its carrying value may not be recoverable. Goodwill is evaluated for impairment by performing a qualitative assessment or using a quantitative test. If CenterPoint Energy or CERC chooses to perform a qualitative assessment and determine it is more likely than not that the fair value of a reporting unit is less than its carrying amount, the quantitative test is then performed; otherwise, no further testing is required. The quantitative test, if required, is performed by comparing the fair value of each reporting unit with the carrying amount of the reporting unit, including goodwill. The estimated fair value of the reporting unit is primarily determined based on a weighted combination of income and market approaches. When the carrying amount is in excess of the estimated fair value of the reporting unit, the excess amount is recorded as an impairment charge, not to exceed the carrying amount of goodwill. CenterPoint Energy includes deferred tax assets and liabilities within its reporting unit’s carrying value for the purposes of annual and interim impairment tests, regardless of whether the estimated fair value reflects the disposition of such assets and liabilities. For further information about the goodwill impairment tests, see Note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9" w:name="page130"/>
    <w:bookmarkEnd w:id="129"/>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(j) Regulatory Assets and Liabilities</w:t>
      </w:r>
    </w:p>
    <w:p>
      <w:pPr>
        <w:spacing w:after="0" w:line="202" w:lineRule="exact"/>
        <w:rPr>
          <w:sz w:val="20"/>
          <w:szCs w:val="20"/>
          <w:color w:val="auto"/>
        </w:rPr>
      </w:pPr>
    </w:p>
    <w:p>
      <w:pPr>
        <w:ind w:right="380" w:firstLine="255"/>
        <w:spacing w:after="0" w:line="270" w:lineRule="auto"/>
        <w:rPr>
          <w:sz w:val="20"/>
          <w:szCs w:val="20"/>
          <w:color w:val="auto"/>
        </w:rPr>
      </w:pPr>
      <w:r>
        <w:rPr>
          <w:rFonts w:ascii="Times New Roman" w:cs="Times New Roman" w:eastAsia="Times New Roman" w:hAnsi="Times New Roman"/>
          <w:sz w:val="14"/>
          <w:szCs w:val="14"/>
          <w:color w:val="auto"/>
        </w:rPr>
        <w:t>The Registrants apply the guidance for accounting for regulated operations within the Electric reportable segment and the Natural Gas reportable segment. The Registrants’ rate-regulated subsidiaries may collect revenues subject to refund pending final determination in rate proceedings. In connection with such revenues, estimated rate refund liabilities are recorded which reflect management’s current judgment of the ultimate outcomes of the proceedings.</w:t>
      </w:r>
    </w:p>
    <w:p>
      <w:pPr>
        <w:spacing w:after="0" w:line="157"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The Registrants’ rate-regulated businesses recognize removal costs as a component of depreciation expense in accordance with regulatory treatment. In addition, a portion of the amount of removal costs collected from customers that relate to AROs has been reflected as an asset retirement liability in accordance with accounting guidance for AROs.</w:t>
      </w:r>
    </w:p>
    <w:p>
      <w:pPr>
        <w:spacing w:after="0" w:line="145"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account for an ARO at fair value in the period during which the legal obligation is incurred if a reasonable estimate of fair value and its settlement date can be made. When an ARO is recorded, the associated asset retirement costs are capitalized as part of the carrying amount of the related long-lived asset. The Registrants recognize a regulatory asset or liability for the timing differences between the recognition of expenses and costs recovered through the ratemaking process. The estimates of future liabilities are developed using a discounted cash flow model based upon estimates and assumptions of future costs, interest rates, credit-adjusted risk-free rates and the estimated timing of settlement.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further detail on the Registrants’ regulatory assets and liabilities, see Note 7.</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(k) Capitalization and Deferral of Interest, including AFUDC</w:t>
      </w:r>
    </w:p>
    <w:p>
      <w:pPr>
        <w:spacing w:after="0" w:line="20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The Registrants capitalize interest and AFUDC as a component of projects under construction and amortize it over the assets’ estimated useful lives once the assets are placed in service. Additionally, the Registrants defer interest costs into a regulatory asset when amounts are probable of recovery. Deferred debt interest is amortized over the recovery period for rate-making purposes. AFUDC represents the composite interest cost of borrowed funds and a reasonable return on the equity funds used for construction for subsidiaries that apply the guidance for accounting for regulated operations. Although AFUDC increases both property, plant and equipment and earnings, it is realized in cash when the assets are included in rates. The table below includes interest capitalized or deferred for the periods presented: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960" w:type="dxa"/>
            <w:vAlign w:val="bottom"/>
          </w:tcPr>
          <w:p>
            <w:pPr>
              <w:spacing w:after="0"/>
              <w:rPr>
                <w:sz w:val="8"/>
                <w:szCs w:val="8"/>
                <w:color w:val="auto"/>
              </w:rPr>
            </w:pPr>
          </w:p>
        </w:tc>
        <w:tc>
          <w:tcPr>
            <w:tcW w:w="106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Pr>
          <w:p>
            <w:pPr>
              <w:spacing w:after="0"/>
              <w:rPr>
                <w:sz w:val="8"/>
                <w:szCs w:val="8"/>
                <w:color w:val="auto"/>
              </w:rPr>
            </w:pPr>
          </w:p>
        </w:tc>
        <w:tc>
          <w:tcPr>
            <w:tcW w:w="700" w:type="dxa"/>
            <w:vAlign w:val="bottom"/>
          </w:tcPr>
          <w:p>
            <w:pPr>
              <w:jc w:val="right"/>
              <w:ind w:right="143"/>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0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700" w:type="dxa"/>
            <w:vAlign w:val="bottom"/>
          </w:tcPr>
          <w:p>
            <w:pPr>
              <w:jc w:val="center"/>
              <w:ind w:left="203"/>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Pr>
          <w:p>
            <w:pPr>
              <w:spacing w:after="0"/>
              <w:rPr>
                <w:sz w:val="8"/>
                <w:szCs w:val="8"/>
                <w:color w:val="auto"/>
              </w:rPr>
            </w:pPr>
          </w:p>
        </w:tc>
        <w:tc>
          <w:tcPr>
            <w:tcW w:w="700" w:type="dxa"/>
            <w:vAlign w:val="bottom"/>
          </w:tcPr>
          <w:p>
            <w:pPr>
              <w:jc w:val="right"/>
              <w:ind w:right="143"/>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00" w:type="dxa"/>
            <w:vAlign w:val="bottom"/>
          </w:tcPr>
          <w:p>
            <w:pPr>
              <w:spacing w:after="0"/>
              <w:rPr>
                <w:sz w:val="8"/>
                <w:szCs w:val="8"/>
                <w:color w:val="auto"/>
              </w:rPr>
            </w:pPr>
          </w:p>
        </w:tc>
        <w:tc>
          <w:tcPr>
            <w:tcW w:w="58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interest and AFUDC debt (1)</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21</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7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90"/>
              </w:rPr>
              <w:t>18</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3"/>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AFUDC equity (2)</w:t>
            </w:r>
          </w:p>
        </w:tc>
        <w:tc>
          <w:tcPr>
            <w:tcW w:w="460" w:type="dxa"/>
            <w:vAlign w:val="bottom"/>
          </w:tcPr>
          <w:p>
            <w:pPr>
              <w:spacing w:after="0"/>
              <w:rPr>
                <w:sz w:val="13"/>
                <w:szCs w:val="13"/>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74</w:t>
            </w:r>
          </w:p>
        </w:tc>
        <w:tc>
          <w:tcPr>
            <w:tcW w:w="160" w:type="dxa"/>
            <w:vAlign w:val="bottom"/>
          </w:tcPr>
          <w:p>
            <w:pPr>
              <w:spacing w:after="0"/>
              <w:rPr>
                <w:sz w:val="13"/>
                <w:szCs w:val="13"/>
                <w:color w:val="auto"/>
              </w:rPr>
            </w:pP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37</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700" w:type="dxa"/>
            <w:vAlign w:val="bottom"/>
          </w:tcPr>
          <w:p>
            <w:pPr>
              <w:spacing w:after="0"/>
              <w:rPr>
                <w:sz w:val="13"/>
                <w:szCs w:val="13"/>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90"/>
              </w:rPr>
              <w:t>33</w:t>
            </w:r>
          </w:p>
        </w:tc>
        <w:tc>
          <w:tcPr>
            <w:tcW w:w="14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62</w:t>
            </w:r>
          </w:p>
        </w:tc>
        <w:tc>
          <w:tcPr>
            <w:tcW w:w="160" w:type="dxa"/>
            <w:vAlign w:val="bottom"/>
          </w:tcPr>
          <w:p>
            <w:pPr>
              <w:spacing w:after="0"/>
              <w:rPr>
                <w:sz w:val="13"/>
                <w:szCs w:val="13"/>
                <w:color w:val="auto"/>
              </w:rPr>
            </w:pP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32</w:t>
            </w: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debt interest (3)</w:t>
            </w: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71</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39</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90"/>
              </w:rPr>
              <w:t>24</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65</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16</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Interest expense and other finance charges on the Registrants’ respective Statements of Consolidated Income.</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(expense), net on the Registrants’ respective Statements of Consolidated Income.</w:t>
      </w:r>
    </w:p>
    <w:p>
      <w:pPr>
        <w:spacing w:after="0" w:line="8" w:lineRule="exact"/>
        <w:rPr>
          <w:rFonts w:ascii="Times New Roman" w:cs="Times New Roman" w:eastAsia="Times New Roman" w:hAnsi="Times New Roman"/>
          <w:sz w:val="14"/>
          <w:szCs w:val="14"/>
          <w:color w:val="auto"/>
        </w:rPr>
      </w:pPr>
    </w:p>
    <w:p>
      <w:pPr>
        <w:ind w:left="520" w:right="20" w:hanging="260"/>
        <w:spacing w:after="0" w:line="259" w:lineRule="auto"/>
        <w:tabs>
          <w:tab w:leader="none" w:pos="51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on certain regulatory assets that are authorized to earn a return, such as debt post in-service carrying costs on property, plant and equipment, gas costs, storm restoration costs, and TEEEF (including returns on both regulatory and lease assets) and is included in Interest expense and other finance charges on the Registrants’ respective Statements of Consolidated Income.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0" w:name="page131"/>
    <w:bookmarkEnd w:id="130"/>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(l) Leases</w:t>
      </w:r>
    </w:p>
    <w:p>
      <w:pPr>
        <w:spacing w:after="0" w:line="20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An arrangement is determined to be a lease at inception based on whether the Registrant has the right to control the use of an identified asset. ROU assets represent the Registrants’ right to use the underlying asset for the lease term and lease liabilities represent the Registrants’ obligation to make lease payments arising from the lease. ROU assets and liabilities are recognized at the lease commencement date based on the present value of lease payments over the lease term, including payments at commencement that depend on an index or rate. Most leases in which the Registrants are the lessee do not have a readily determinable implicit rate, so an incremental borrowing rate, based on the information available at the lease commencement date, is utilized to determine the present value of lease payments. When a secured borrowing rate is not readily available, unsecured borrowing rates are adjusted for the effects of collateral to determine the incremental borrowing rate. Each Registrant uses the implicit rate for agreements in which it is a lessor. Lease income and expense for operating leases and ROU amortization for finance leases are recognized on a straight-line basis over the lease term.</w:t>
      </w:r>
    </w:p>
    <w:p>
      <w:pPr>
        <w:spacing w:after="0" w:line="168"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Registrants have lease agreements with lease and non-lease components and have elected the practical expedient to combine lease and non-lease components for certain classes of leases, such as office buildings and TEEEF. For classes of leases in which lease and non-lease components are not combined, consideration is allocated between components based on the stand-alone prices. Sublease income is not significant to the Registrants.</w:t>
      </w:r>
    </w:p>
    <w:p>
      <w:pPr>
        <w:spacing w:after="0" w:line="157"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The Registrants’ lease agreements do not contain any material residual value guarantees, material restrictions or material covenants. Except as described in Note 18, there are no lease transactions between related parties. Agreements in which the Registrants are lessors do not include provisions for the lessee to purchase the assets. Because risk is minimal, the Registrants do not take any significant actions to manage risk associated with the residual value of their leased assets.</w:t>
      </w:r>
    </w:p>
    <w:p>
      <w:pPr>
        <w:spacing w:after="0" w:line="15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Registrants’ operating lease agreements are primarily equipment and real property leases, including land and office facility leases. CenterPoint Energy and Houston Electric also have finance lease agreements for TEEEF. The Registrants’ lease terms may include options to extend or terminate a lease when it is reasonably certain that those options will be exercised. The Registrants have elected an accounting policy that exempts leases with terms of one year or less from the recognition requirements of ASC 842. For further details on the Registrants’ leases, see Note 19.</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 Income Taxes</w:t>
      </w:r>
    </w:p>
    <w:p>
      <w:pPr>
        <w:spacing w:after="0" w:line="202"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Houston Electric and CERC are included in CenterPoint Energy’s U.S. federal consolidated income tax return. Houston Electric and CERC report their income tax provision on a separate entity basis pursuant to a tax sharing policy with CenterPoint Energy. Current federal and certain state income taxes are payable to or receivable from CenterPoint Energy.</w:t>
      </w:r>
    </w:p>
    <w:p>
      <w:pPr>
        <w:spacing w:after="0" w:line="145"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Registrants use the asset and liability method of accounting for deferred income taxes. Deferred income tax assets and liabilities are recognized for the future tax consequences attributable to differences between the financial statement carrying amounts of existing assets and liabilities and their respective tax basis. A valuation allowance is established against deferred tax assets for which management believes realization is not considered to be more likely than not. The Registrants recognize interest and penalties as a component of income tax expense (benefit), as applicable, in their respective Statements of Consolidated Income.</w:t>
      </w:r>
    </w:p>
    <w:p>
      <w:pPr>
        <w:spacing w:after="0" w:line="16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To the extent certain EDIT of the Registrants’ rate-regulated subsidiaries may be recoverable or payable through future rates, regulatory assets and liabilities have been recorded, respectively. See Note 13 for further discussion.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use the portfolio approach to recognize income tax effects on other comprehensive income from accumulated other comprehensive income.</w:t>
      </w:r>
    </w:p>
    <w:p>
      <w:pPr>
        <w:spacing w:after="0" w:line="200"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Investment tax credits are deferred and amortized to income over the approximate lives of the related property. Production tax credits extended by the IRA may be used to reduce current federal income taxes payable.</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 Investments in Equity Securities (CenterPoint Energy)</w:t>
      </w:r>
    </w:p>
    <w:p>
      <w:pPr>
        <w:spacing w:after="0" w:line="202"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reports equity securities at estimated fair value in the Consolidated Balance Sheets, and any gains and losses, net of any transaction costs, are recorded as Gain (loss) on equity securities in the Statements of Consolidated Income. For further discussion on equity securities, see Note 10.</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1" w:name="page132"/>
    <w:bookmarkEnd w:id="131"/>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 Assets Held for Sale</w:t>
      </w:r>
    </w:p>
    <w:p>
      <w:pPr>
        <w:spacing w:after="0" w:line="202"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Generally, a long-lived asset to be sold is classified as held for sale in the period in which management, with approval from the Board, as applicable, commits to a plan to sell, and a sale is expected to be completed within one year. The Registrants record assets and liabilities held for sale, or the disposal group, at the lower of their carrying value or their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 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spacing w:after="0" w:line="164"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As of December 31, 2025, certain assets and liabilities representing the Ohio natural gas LDC business met the held for sale criteria. The sale will be considered an asset sale for tax purposes, requiring net deferred tax liabilities to be excluded from held for sale balances. Although the Ohio natural gas LDC business met the held for sale criteria as of December 31, 2025, and the Louisiana and Mississippi natural gas LDC businesses met the held for sale criteria as of December 31, 2024, their disposals did not represent a strategic shift for CenterPoint Energy or CERC, as both retain significant operations in, and continue to invest in, their natural gas businesses. Therefore, the assets and liabilities, as well as the related income and expenses, associated with this transaction were not reflected as discontinued operations on CenterPoint Energy’s and CERC’s Consolidated Balance Sheets and Statements of Consolidated Income, as applicable, and the December 31, 2024 Consolidated Balance Sheets were not required to be recast for assets held for sale. For further discussion of the sale, see Note 4.</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 Recent Accounting Pronouncements</w:t>
      </w:r>
    </w:p>
    <w:p>
      <w:pPr>
        <w:spacing w:after="0" w:line="191" w:lineRule="exact"/>
        <w:rPr>
          <w:sz w:val="20"/>
          <w:szCs w:val="20"/>
          <w:color w:val="auto"/>
        </w:rPr>
      </w:pPr>
    </w:p>
    <w:p>
      <w:pPr>
        <w:ind w:right="60" w:firstLine="255"/>
        <w:spacing w:after="0" w:line="248" w:lineRule="auto"/>
        <w:rPr>
          <w:sz w:val="20"/>
          <w:szCs w:val="20"/>
          <w:color w:val="auto"/>
        </w:rPr>
      </w:pPr>
      <w:r>
        <w:rPr>
          <w:rFonts w:ascii="Times New Roman" w:cs="Times New Roman" w:eastAsia="Times New Roman" w:hAnsi="Times New Roman"/>
          <w:sz w:val="14"/>
          <w:szCs w:val="14"/>
          <w:color w:val="auto"/>
        </w:rPr>
        <w:t>In September 2025, the FASB issued ASU 2025-06, Intangibles—Goodwill and Other—Internal-Use Software (Subtopic 350-40): Targeted Improvements to the Accounting for Internal-Use Software (“ASU 2025-06”). This ASU modernizes the accounting for software costs to adapt to an incremental and iterative software development method. ASU 2025-06 is effective for annual periods beginning after December 15, 2027, and may be applied using a prospective, modified prospective or retrospective transition approach. The Registrants are currently evaluating the impact of this ASU on their respective consolidated financial statements.</w:t>
      </w:r>
    </w:p>
    <w:p>
      <w:pPr>
        <w:spacing w:after="0" w:line="173"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 (Topic 220): Expense Disaggregation Disclosures (“ASU 2024-03”). This ASU improves disclosure of a public business entity’s expense by requiring disaggregated disclosure of expenses in commonly presented expense captions. ASU 2024-03 is effective for annual periods beginning after December 15, 2026, and for interim periods beginning after December 15, 2027. Early adoption is permitted. The Registrants are currently evaluating the impact of this ASU on their respective consolidated financial statements.</w:t>
      </w:r>
    </w:p>
    <w:p>
      <w:pPr>
        <w:spacing w:after="0" w:line="16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This ASU enhances the transparency of income tax disclosures related to rate reconciliation and income taxes. ASU 2023-09 is effective for annual periods beginning after December 15, 2024. The Registrants adopted this ASU on December 31, 2025, on a retrospective basis. The adoption of this ASU did not have a material impact on their respective consolidated financial statements. See Note 13 for additional disclosures related to effective tax rate reconciliation and Note 17 for additional disclosures related to income taxes paid.</w:t>
      </w:r>
    </w:p>
    <w:p>
      <w:pPr>
        <w:spacing w:after="0" w:line="162"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Management believes that all other recently adopted and recently issued accounting standards that are not yet effective will not have a material impact on the Registrants’ financial position, results of operations or cash flows upon adoption.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color w:val="auto"/>
        </w:rPr>
        <w:t>(3) Property, Plant and Equipment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Property, Plant and Equipment</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plant and equipment includes the following for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60" w:type="dxa"/>
            <w:vAlign w:val="bottom"/>
          </w:tcPr>
          <w:p>
            <w:pPr>
              <w:spacing w:after="0"/>
              <w:rPr>
                <w:sz w:val="9"/>
                <w:szCs w:val="9"/>
                <w:color w:val="auto"/>
              </w:rPr>
            </w:pPr>
          </w:p>
        </w:tc>
        <w:tc>
          <w:tcPr>
            <w:tcW w:w="9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9"/>
                <w:szCs w:val="9"/>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Property, Plant and</w:t>
            </w:r>
          </w:p>
        </w:tc>
        <w:tc>
          <w:tcPr>
            <w:tcW w:w="100" w:type="dxa"/>
            <w:vAlign w:val="bottom"/>
          </w:tcPr>
          <w:p>
            <w:pPr>
              <w:spacing w:after="0"/>
              <w:rPr>
                <w:sz w:val="9"/>
                <w:szCs w:val="9"/>
                <w:color w:val="auto"/>
              </w:rPr>
            </w:pPr>
          </w:p>
        </w:tc>
        <w:tc>
          <w:tcPr>
            <w:tcW w:w="114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9"/>
                <w:szCs w:val="9"/>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Property, Plant and</w:t>
            </w:r>
          </w:p>
        </w:tc>
        <w:tc>
          <w:tcPr>
            <w:tcW w:w="80" w:type="dxa"/>
            <w:vAlign w:val="bottom"/>
          </w:tcPr>
          <w:p>
            <w:pPr>
              <w:spacing w:after="0"/>
              <w:rPr>
                <w:sz w:val="9"/>
                <w:szCs w:val="9"/>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Property, Plant and</w:t>
            </w:r>
          </w:p>
        </w:tc>
        <w:tc>
          <w:tcPr>
            <w:tcW w:w="80" w:type="dxa"/>
            <w:vAlign w:val="bottom"/>
          </w:tcPr>
          <w:p>
            <w:pPr>
              <w:spacing w:after="0"/>
              <w:rPr>
                <w:sz w:val="9"/>
                <w:szCs w:val="9"/>
                <w:color w:val="auto"/>
              </w:rPr>
            </w:pPr>
          </w:p>
        </w:tc>
        <w:tc>
          <w:tcPr>
            <w:tcW w:w="114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9"/>
                <w:szCs w:val="9"/>
                <w:color w:val="auto"/>
              </w:rPr>
            </w:pPr>
          </w:p>
        </w:tc>
        <w:tc>
          <w:tcPr>
            <w:tcW w:w="10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Property, Plant and</w:t>
            </w: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9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Average Useful</w:t>
            </w: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Depreciation &amp;</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Depreciation &amp;</w:t>
            </w:r>
          </w:p>
        </w:tc>
        <w:tc>
          <w:tcPr>
            <w:tcW w:w="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Lives</w:t>
            </w: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Equipment, Gross</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Equipment, Net</w:t>
            </w:r>
          </w:p>
        </w:tc>
        <w:tc>
          <w:tcPr>
            <w:tcW w:w="8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Equipment, Gross</w:t>
            </w: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Equipment, Net</w:t>
            </w:r>
          </w:p>
        </w:tc>
        <w:tc>
          <w:tcPr>
            <w:tcW w:w="0" w:type="dxa"/>
            <w:vAlign w:val="bottom"/>
          </w:tcPr>
          <w:p>
            <w:pPr>
              <w:spacing w:after="0"/>
              <w:rPr>
                <w:sz w:val="1"/>
                <w:szCs w:val="1"/>
                <w:color w:val="auto"/>
              </w:rPr>
            </w:pPr>
          </w:p>
        </w:tc>
      </w:tr>
      <w:tr>
        <w:trPr>
          <w:trHeight w:val="145"/>
        </w:trPr>
        <w:tc>
          <w:tcPr>
            <w:tcW w:w="3060" w:type="dxa"/>
            <w:vAlign w:val="bottom"/>
          </w:tcPr>
          <w:p>
            <w:pPr>
              <w:spacing w:after="0"/>
              <w:rPr>
                <w:sz w:val="12"/>
                <w:szCs w:val="12"/>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5"/>
          </w:tcPr>
          <w:p>
            <w:pPr>
              <w:ind w:left="8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Electric transmission and distribution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18,619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16,577</w:t>
            </w:r>
          </w:p>
        </w:tc>
        <w:tc>
          <w:tcPr>
            <w:tcW w:w="0" w:type="dxa"/>
            <w:vAlign w:val="bottom"/>
          </w:tcPr>
          <w:p>
            <w:pPr>
              <w:spacing w:after="0"/>
              <w:rPr>
                <w:sz w:val="1"/>
                <w:szCs w:val="1"/>
                <w:color w:val="auto"/>
              </w:rPr>
            </w:pPr>
          </w:p>
        </w:tc>
      </w:tr>
      <w:tr>
        <w:trPr>
          <w:trHeight w:val="153"/>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Electric generation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w:t>
            </w: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 distribution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11,435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16,399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12,073</w:t>
            </w:r>
          </w:p>
        </w:tc>
        <w:tc>
          <w:tcPr>
            <w:tcW w:w="0" w:type="dxa"/>
            <w:vAlign w:val="bottom"/>
          </w:tcPr>
          <w:p>
            <w:pPr>
              <w:spacing w:after="0"/>
              <w:rPr>
                <w:sz w:val="1"/>
                <w:szCs w:val="1"/>
                <w:color w:val="auto"/>
              </w:rPr>
            </w:pPr>
          </w:p>
        </w:tc>
      </w:tr>
      <w:tr>
        <w:trPr>
          <w:trHeight w:val="153"/>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Finance ROU asset (1)</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0" w:type="dxa"/>
            <w:vAlign w:val="bottom"/>
          </w:tcPr>
          <w:p>
            <w:pPr>
              <w:spacing w:after="0"/>
              <w:rPr>
                <w:sz w:val="1"/>
                <w:szCs w:val="1"/>
                <w:color w:val="auto"/>
              </w:rPr>
            </w:pPr>
          </w:p>
        </w:tc>
      </w:tr>
      <w:tr>
        <w:trPr>
          <w:trHeight w:val="16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property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2,267</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3,112</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1,056</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2,056</w:t>
            </w:r>
          </w:p>
        </w:tc>
        <w:tc>
          <w:tcPr>
            <w:tcW w:w="0" w:type="dxa"/>
            <w:vAlign w:val="bottom"/>
          </w:tcPr>
          <w:p>
            <w:pPr>
              <w:spacing w:after="0"/>
              <w:rPr>
                <w:sz w:val="1"/>
                <w:szCs w:val="1"/>
                <w:color w:val="auto"/>
              </w:rPr>
            </w:pPr>
          </w:p>
        </w:tc>
      </w:tr>
      <w:tr>
        <w:trPr>
          <w:trHeight w:val="129"/>
        </w:trPr>
        <w:tc>
          <w:tcPr>
            <w:tcW w:w="3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44,676</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10,620</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34,056</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42,667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10,578</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32,089</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0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Electric transmission and distribution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16,811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14,998</w:t>
            </w:r>
          </w:p>
        </w:tc>
        <w:tc>
          <w:tcPr>
            <w:tcW w:w="0" w:type="dxa"/>
            <w:vAlign w:val="bottom"/>
          </w:tcPr>
          <w:p>
            <w:pPr>
              <w:spacing w:after="0"/>
              <w:rPr>
                <w:sz w:val="1"/>
                <w:szCs w:val="1"/>
                <w:color w:val="auto"/>
              </w:rPr>
            </w:pPr>
          </w:p>
        </w:tc>
      </w:tr>
      <w:tr>
        <w:trPr>
          <w:trHeight w:val="153"/>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Finance ROU asset (1)</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property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1,857</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2,443</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1,694</w:t>
            </w:r>
          </w:p>
        </w:tc>
        <w:tc>
          <w:tcPr>
            <w:tcW w:w="0" w:type="dxa"/>
            <w:vAlign w:val="bottom"/>
          </w:tcPr>
          <w:p>
            <w:pPr>
              <w:spacing w:after="0"/>
              <w:rPr>
                <w:sz w:val="1"/>
                <w:szCs w:val="1"/>
                <w:color w:val="auto"/>
              </w:rPr>
            </w:pPr>
          </w:p>
        </w:tc>
      </w:tr>
      <w:tr>
        <w:trPr>
          <w:trHeight w:val="156"/>
        </w:trPr>
        <w:tc>
          <w:tcPr>
            <w:tcW w:w="3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23,947</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4,944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19,003</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21,750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4,628</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17,122</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0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CERC</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Natural gas distribution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14,451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10,659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15,474</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4,118</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11,356</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property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56"/>
        </w:trPr>
        <w:tc>
          <w:tcPr>
            <w:tcW w:w="30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14,540</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10,720</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15,552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4,146</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recognized a finance ROU asset as of December 31, 2025 and December 31, 2024 related to TEEEF. See Note 19 for further discussion.</w:t>
      </w:r>
    </w:p>
    <w:p>
      <w:pPr>
        <w:spacing w:after="0" w:line="197" w:lineRule="exact"/>
        <w:rPr>
          <w:rFonts w:ascii="Times New Roman" w:cs="Times New Roman" w:eastAsia="Times New Roman" w:hAnsi="Times New Roman"/>
          <w:sz w:val="14"/>
          <w:szCs w:val="14"/>
          <w:color w:val="auto"/>
        </w:rPr>
      </w:pPr>
    </w:p>
    <w:p>
      <w:pPr>
        <w:ind w:left="340" w:hanging="208"/>
        <w:spacing w:after="0"/>
        <w:tabs>
          <w:tab w:leader="none" w:pos="340" w:val="left"/>
        </w:tabs>
        <w:numPr>
          <w:ilvl w:val="0"/>
          <w:numId w:val="5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depreciation and amortization expense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4"/>
        </w:trPr>
        <w:tc>
          <w:tcPr>
            <w:tcW w:w="2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0"/>
        </w:trPr>
        <w:tc>
          <w:tcPr>
            <w:tcW w:w="2160" w:type="dxa"/>
            <w:vAlign w:val="bottom"/>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w:t>
            </w: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545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w:t>
            </w:r>
          </w:p>
        </w:tc>
      </w:tr>
      <w:tr>
        <w:trPr>
          <w:trHeight w:val="153"/>
        </w:trPr>
        <w:tc>
          <w:tcPr>
            <w:tcW w:w="2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securitized regulatory assets</w:t>
            </w:r>
          </w:p>
        </w:tc>
        <w:tc>
          <w:tcPr>
            <w:tcW w:w="40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amortization</w:t>
            </w:r>
          </w:p>
        </w:tc>
        <w:tc>
          <w:tcPr>
            <w:tcW w:w="4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143</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56"/>
        </w:trPr>
        <w:tc>
          <w:tcPr>
            <w:tcW w:w="21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1,530</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807</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1,439</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762</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1,401</w:t>
            </w:r>
          </w:p>
        </w:tc>
        <w:tc>
          <w:tcPr>
            <w:tcW w:w="80" w:type="dxa"/>
            <w:vAlign w:val="bottom"/>
          </w:tcPr>
          <w:p>
            <w:pPr>
              <w:spacing w:after="0"/>
              <w:rPr>
                <w:sz w:val="13"/>
                <w:szCs w:val="13"/>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493</w:t>
            </w:r>
          </w:p>
        </w:tc>
      </w:tr>
      <w:tr>
        <w:trPr>
          <w:trHeight w:val="20"/>
        </w:trPr>
        <w:tc>
          <w:tcPr>
            <w:tcW w:w="2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 AROs</w:t>
      </w:r>
    </w:p>
    <w:p>
      <w:pPr>
        <w:spacing w:after="0" w:line="202" w:lineRule="exact"/>
        <w:rPr>
          <w:sz w:val="20"/>
          <w:szCs w:val="20"/>
          <w:color w:val="auto"/>
        </w:rPr>
      </w:pPr>
    </w:p>
    <w:p>
      <w:pPr>
        <w:ind w:right="260" w:firstLine="255"/>
        <w:spacing w:after="0" w:line="264" w:lineRule="auto"/>
        <w:rPr>
          <w:sz w:val="20"/>
          <w:szCs w:val="20"/>
          <w:color w:val="auto"/>
        </w:rPr>
      </w:pPr>
      <w:r>
        <w:rPr>
          <w:rFonts w:ascii="Times New Roman" w:cs="Times New Roman" w:eastAsia="Times New Roman" w:hAnsi="Times New Roman"/>
          <w:sz w:val="14"/>
          <w:szCs w:val="14"/>
          <w:color w:val="auto"/>
        </w:rPr>
        <w:t>The Registrants have recorded AROs associated with the removal of asbestos and asbestos-containing material in their buildings, including substation building structures. CenterPoint Energy recorded AROs relating to the closure of the ash ponds at A.B. Brown and F.B. Culley as well as certain sites in Indiana pursuant to the CCR Legacy Rule; see Note 14(c) for further discussion. CenterPoint Energy and Houston Electric also recorded AROs relating to treated wood poles for electric distribution, distribution transformers containing PCB (also known as Polychlorinated Biphenyl), and underground fuel storage tanks. CenterPoint Energy and CERC also recorded AROs relating to gas pipelines abandoned in place.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3" w:name="page134"/>
    <w:bookmarkEnd w:id="133"/>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A reconciliation of the changes in the ARO liability recorded in Other non-current liabilities on each of the Registrants’ respective Consolidated Balance Sheets is as follows for the periods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4"/>
                <w:szCs w:val="1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168"/>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expense (1)</w:t>
            </w:r>
          </w:p>
        </w:tc>
        <w:tc>
          <w:tcPr>
            <w:tcW w:w="5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Revisions in estimates (2)</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29"/>
        </w:trPr>
        <w:tc>
          <w:tcPr>
            <w:tcW w:w="36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Impact of divestiture of Louisiana and Mississippi natural gas</w:t>
            </w:r>
          </w:p>
        </w:tc>
        <w:tc>
          <w:tcPr>
            <w:tcW w:w="5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LDCs (3)</w:t>
            </w:r>
          </w:p>
        </w:tc>
        <w:tc>
          <w:tcPr>
            <w:tcW w:w="5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 (4)</w:t>
            </w: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Regulatory assets on each of the Registrants’ respective Consolidated Balance Sheets.</w:t>
      </w:r>
    </w:p>
    <w:p>
      <w:pPr>
        <w:spacing w:after="0" w:line="23"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5"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2025 and 2024, CenterPoint Energy, Houston Electric and CERC reflected a decrease in their respective ARO liability, which was primarily attributable to increases in the long-term interest rates used for discounting in the ARO calculation.</w:t>
      </w:r>
    </w:p>
    <w:p>
      <w:pPr>
        <w:ind w:left="520" w:right="440" w:hanging="260"/>
        <w:spacing w:after="0" w:line="253" w:lineRule="auto"/>
        <w:tabs>
          <w:tab w:leader="none" w:pos="515"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a decrease in ARO liability related to the divestiture of the Louisiana and Mississippi natural gas LDCs on March 31, 2025. See Note 4 for further information regarding the divestiture.</w:t>
      </w:r>
    </w:p>
    <w:p>
      <w:pPr>
        <w:ind w:left="520" w:right="40" w:hanging="260"/>
        <w:spacing w:after="0" w:line="266" w:lineRule="auto"/>
        <w:tabs>
          <w:tab w:leader="none" w:pos="515"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 million related to the Ohio natural gas LDC business, which was classified as held for sale as of December 31, 2025 in CenterPoint Energy’s and CERC’s Consolidated Balance Sheets. See Note 4 for further information regarding the divestiture.</w:t>
      </w:r>
    </w:p>
    <w:p>
      <w:pPr>
        <w:spacing w:after="0" w:line="157"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Held for Sale, Divestitures and Acquisition (CenterPoint Energy and CERC)</w:t>
      </w:r>
    </w:p>
    <w:p>
      <w:pPr>
        <w:spacing w:after="0" w:line="200"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Held for Sale. </w:t>
      </w:r>
      <w:r>
        <w:rPr>
          <w:rFonts w:ascii="Times New Roman" w:cs="Times New Roman" w:eastAsia="Times New Roman" w:hAnsi="Times New Roman"/>
          <w:sz w:val="14"/>
          <w:szCs w:val="14"/>
          <w:color w:val="auto"/>
        </w:rPr>
        <w:t>On October 20, 2025, CERC Corp. entered into the Ohio Securities Purchase Agreement to sell all of the issued and outstanding equity interests in CEOH to NFGC. The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price is $2.62 billion, which is comprised of the following: (i) $1.42 billion in cash payable to CERC Corp. upon closing of the transaction, subject to adjustments as set forth in the Ohio Securities Purchase Agreement, including adjustments based on net working capital, regulatory assets and liabilities and capital expenditures at closing of the transaction; and (ii) a 364-day seller promissory note, in the original principal amount of $1.2 billion, to be issued by NFGC at the closing of the transaction and payable to CERC Corp. as provided by the terms and conditions of the Seller Note Agreement. The transaction is expected to close in the fourth quarter of 2026, subject to the satisfaction of customary closing conditions, including (i) the expiration or termination of the applicable waiting period under the Hart-Scott-Rodino Antitrust Improvements Act of 1976, as amended; (ii) completion of a notice filing and review with the PUCO; and (iii) customary conditions regarding the accuracy of the representations and warranties and compliance by the parties with their respective obligations under the Ohio Securities Purchase Agreement. The transaction is not subject to a financing condition and will not close prior to October 1, 2026 without the consent of CERC Corp. As of December 31, 2025, the assets included approximately 6,000 miles of transmission and distribution pipeline in Ohio serving approximately 337,000 metered customers. The Ohio natural gas LDC business is reflected in CenterPoint Energy’s Natural Gas reportable segment and CERC’s single reportable segment. A filing was made on January 9, 2026, notifying the PUCO of the execution of the Ohio Securities Purchase Agreement.</w:t>
      </w:r>
    </w:p>
    <w:p>
      <w:pPr>
        <w:spacing w:after="0" w:line="16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In October 2025, certain assets and liabilities representing the Ohio natural gas LDC business met the held for sale criteria. Neither CenterPoint Energy nor CERC recognized any gains or losses upon classification of held for sale during the year ended December 31, 2025. See Note 6 for further disclosure regarding the amount of goodwill allocated to the businesses to be sold.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4" w:name="page135"/>
    <w:bookmarkEnd w:id="134"/>
    <w:p>
      <w:pPr>
        <w:ind w:left="260"/>
        <w:spacing w:after="0"/>
        <w:rPr>
          <w:sz w:val="20"/>
          <w:szCs w:val="20"/>
          <w:color w:val="auto"/>
        </w:rPr>
      </w:pPr>
      <w:r>
        <w:rPr>
          <w:rFonts w:ascii="Times New Roman" w:cs="Times New Roman" w:eastAsia="Times New Roman" w:hAnsi="Times New Roman"/>
          <w:sz w:val="14"/>
          <w:szCs w:val="14"/>
          <w:color w:val="auto"/>
        </w:rPr>
        <w:t>The assets and liabilities of the Ohio natural gas LDC business classified as held for sale in CenterPoint Energy’s and CERC’s Consolidated Balance Sheets, as applicable, included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18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80" w:type="dxa"/>
            <w:vAlign w:val="bottom"/>
          </w:tcPr>
          <w:p>
            <w:pPr>
              <w:spacing w:after="0"/>
              <w:rPr>
                <w:sz w:val="13"/>
                <w:szCs w:val="13"/>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88"/>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7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accrued</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8"/>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Although the Ohio natural gas LDC business meets the held for sale criteria, its proposed disposal does not represent a strategic shift for CenterPoint Energy and CERC as both will retain significant operations in, and will continue to invest in, their natural gas businesses. Therefore, the assets and liabilities, as well as the related income and expenses, associated with this transaction were not reflected as discontinued operations on CenterPoint Energy’s and CERC’s Consolidated Balance Sheets and Statements of Consolidated Income, as applicable, and the December 31, 2024 Consolidated Balance Sheets were not required to be recast for assets held for sale. Since the depreciation on the assets of the Ohio natural gas LDC business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pre-tax income for the Ohio natural gas LDC business, excluding corporate allocations, included in CenterPoint Energy’s and CERC’s Statements of Consolidated Income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61"/>
        </w:trPr>
        <w:tc>
          <w:tcPr>
            <w:tcW w:w="5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95</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bl>
    <w:p>
      <w:pPr>
        <w:spacing w:after="0" w:line="238" w:lineRule="exact"/>
        <w:rPr>
          <w:sz w:val="20"/>
          <w:szCs w:val="20"/>
          <w:color w:val="auto"/>
        </w:rPr>
      </w:pPr>
    </w:p>
    <w:p>
      <w:pPr>
        <w:jc w:val="both"/>
        <w:ind w:right="80"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Divestiture of Louisiana and Mississippi natural gas LDC businesses. </w:t>
      </w:r>
      <w:r>
        <w:rPr>
          <w:rFonts w:ascii="Times New Roman" w:cs="Times New Roman" w:eastAsia="Times New Roman" w:hAnsi="Times New Roman"/>
          <w:sz w:val="14"/>
          <w:szCs w:val="14"/>
          <w:color w:val="auto"/>
        </w:rPr>
        <w:t>On February 19, 2024, CERC Corp. entered into the LAMS Asset Purchase Agreement, pursuant to which CERC Corp.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agreed to sell its Louisiana and Mississippi natural gas LDC businesses. The purchase price for the Louisiana and Mississippi natural gas LDC businesses was $1.2 billion. The transaction closed on March 31, 2025. As of the closing date, the businesses included approximately 12,000 miles of main pipeline in Louisiana and Mississippi serving more than 380,000 customers. Prior to the sale, the Louisiana and Mississippi natural gas LDC businesses were reflected in CenterPoint Energy’s Natural Gas reportable segment and CERC’s single reportable segment, as applicable.</w:t>
      </w:r>
    </w:p>
    <w:p>
      <w:pPr>
        <w:spacing w:after="0" w:line="161"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2025.</w:t>
      </w:r>
    </w:p>
    <w:p>
      <w:pPr>
        <w:spacing w:after="0" w:line="145"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Although the Louisiana and Mississippi natural gas LDC businesses met the held for sale criteria at December 31, 2024, their disposals did not represent a strategic shift for CenterPoint Energy or CERC, as both retain significant operations in, and continue to invest in, their natural gas businesses. Therefore, the assets and liabilities, as well as the related income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5" w:name="page136"/>
    <w:bookmarkEnd w:id="135"/>
    <w:p>
      <w:pPr>
        <w:ind w:right="40"/>
        <w:spacing w:after="0" w:line="264" w:lineRule="auto"/>
        <w:rPr>
          <w:sz w:val="20"/>
          <w:szCs w:val="20"/>
          <w:color w:val="auto"/>
        </w:rPr>
      </w:pPr>
      <w:r>
        <w:rPr>
          <w:rFonts w:ascii="Times New Roman" w:cs="Times New Roman" w:eastAsia="Times New Roman" w:hAnsi="Times New Roman"/>
          <w:sz w:val="14"/>
          <w:szCs w:val="14"/>
          <w:color w:val="auto"/>
        </w:rPr>
        <w:t>expenses, associated with these transactions were not reflected as discontinued operations on CenterPoint Energy’s and CERC’s Consolidated Balance Sheets and Statements of Consolidated Income, as applicable. Since the depreciation on the Louisiana and Mississippi natural gas LDC businesses’ assets continued to be reflected in revenues through customer rates until the closing of the transaction and was then reflected in the carryover basis of the rate-regulated assets after the sale, CenterPoint Energy and CERC continued to record depreciation on those assets through the closing of the transaction. The Registrants recorded assets and liabilities held for sale at the lower of their carrying value or their estimated fair value less cost to sell.</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CenterPoint Energy and CERC recognized a loss of $49 million and a gain of $46 million, respectively, net of transaction costs of $21 million, in connection with the closing of the disposition of the Louisiana and Mississippi natural gas LDC businesses during the year ended December 31, 2025. Goodwill of $217 million and $122 million was allocated to the Louisiana and Mississippi natural gas LDC businesses by CenterPoint Energy and CERC, respectively, at the time the held for sale criteria was met and such amount was subsequently derecognized following the completion of the sale on March 31, 2025. As of December 31, 2025, CenterPoint Energy and CERC had a receivable of $6 million for working capital and other customary adjustments set forth in the LAMS Asset Purchase Agreement, which was received from the LAMS Buyers in the first quarter of 2026.</w:t>
      </w:r>
    </w:p>
    <w:p>
      <w:pPr>
        <w:spacing w:after="0" w:line="164"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assets and liabilities of the Louisiana and Mississippi natural gas LDC businesses classified as held for sale in CenterPoint Energy’s and CERC’s Consolidated Balance Sheets, as applicable, included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18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80" w:type="dxa"/>
            <w:vAlign w:val="bottom"/>
          </w:tcPr>
          <w:p>
            <w:pPr>
              <w:spacing w:after="0"/>
              <w:rPr>
                <w:sz w:val="13"/>
                <w:szCs w:val="13"/>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 inventory</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8"/>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7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3"/>
        </w:trPr>
        <w:tc>
          <w:tcPr>
            <w:tcW w:w="7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pre-tax income for the Louisiana and Mississippi natural gas LDC businesses, excluding interest and corporate allocations, included in CenterPoint Energy’s and CERC’s Statements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Income is as follows for the periods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61"/>
        </w:trPr>
        <w:tc>
          <w:tcPr>
            <w:tcW w:w="58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2025 (1)</w:t>
            </w: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67</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bl>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Reflects pre-tax income, excluding interest and corporate allocations through March 31, 2025.</w:t>
      </w:r>
    </w:p>
    <w:p>
      <w:pPr>
        <w:spacing w:after="0" w:line="200"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Effective on the date of the closing of the disposition of the Louisiana and Mississippi natural gas LDC businesses, CERC entered into the Transition Services Agreement, whereby CERC agreed to provide certain transition services, including accounting, customer operations, procurement, and technology functions, for a term of up to 24 months. Subject to the conditions in the Transition Services Agreement, the LAMS Buyers may terminate these support services with 60 days prior written notice. CenterPoint Energy’s and CERC’s charges to the LAMS Buyers for reimbursement of transition services and one-time setup costs totaled $34 million during the year ended December 31, 2025. CenterPoint Energy’s and CERC’s Consolidated Balance Sheets included a receivable due from the LAMS Buyers for transition services of $9 million as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98" w:lineRule="exact"/>
        <w:rPr>
          <w:sz w:val="20"/>
          <w:szCs w:val="20"/>
          <w:color w:val="auto"/>
        </w:rPr>
      </w:pPr>
    </w:p>
    <w:p>
      <w:pPr>
        <w:ind w:right="340"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Divestiture of Energy Systems Group</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May 21, 2023, CenterPoint Energy, through its subsidiary Vectren Energy Services, entered into an Equity Purchase Agreement to sell all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and CenterPoint Energy received $154 million in cash. In November 2024, CenterPoint Energy paid $2 million to ESG Holdings Group for working capital and other adjustments set forth in the Equity Purchase Agreement. For a discussion of CenterPoint Energy’s pre-disposition guarantees related to Energy Systems Group, see Note 14(b).</w:t>
      </w:r>
    </w:p>
    <w:p>
      <w:pPr>
        <w:spacing w:after="0" w:line="3"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recognized a loss on sale of approximately $13 million, including $3 million of transaction costs, during the year ended December 31, 2023, in connection with the closing of the sale of Energy Systems Group. Additionally, CenterPoint Energy recognized a current tax expense of $32 million during the year ended December 31, 2023, as a result of the cash taxes payable upon the closing of the sale.</w:t>
      </w:r>
    </w:p>
    <w:p>
      <w:pPr>
        <w:spacing w:after="0" w:line="165"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the pre-tax loss for Energy Systems Group, excluding interest and corporate allocations, included in CenterPoint Energy’s Statements of Consolidated Income was $4 million, which reflected January 1, 2023 to June 30, 2023 results.</w:t>
      </w:r>
    </w:p>
    <w:p>
      <w:pPr>
        <w:spacing w:after="0" w:line="143"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Acquisition of Posey Solar. </w:t>
      </w: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$357 million. The purchase represents an asset acquisition. The lease obligations related to Posey Solar were approximately $35 million at the time of acquisition. The purchase was subject to terms and conditions in an order approved by the IURC on September 6, 2023, allowing Indiana Electric to recover project costs, net of PTCs, in rate base rather than a levelized rate, through base rates or the CECA mechanism, depending on which provides more timely recovery. Posey Solar was placed into service on May 30, 2025. Indiana Electric began recovering on the asset through updated base rates on June 17, 2025. On February 3, 2025, the IURC approved Indiana Electric’s request to convey PTCs to customers through the new tax adjustment rider.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Revenue</w:t>
      </w:r>
    </w:p>
    <w:p>
      <w:pPr>
        <w:spacing w:after="0" w:line="202"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145"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137" w:name="page138"/>
    <w:bookmarkEnd w:id="137"/>
    <w:p>
      <w:pPr>
        <w:ind w:left="260"/>
        <w:spacing w:after="0"/>
        <w:rPr>
          <w:sz w:val="20"/>
          <w:szCs w:val="20"/>
          <w:color w:val="auto"/>
        </w:rPr>
      </w:pPr>
      <w:r>
        <w:rPr>
          <w:rFonts w:ascii="Times New Roman" w:cs="Times New Roman" w:eastAsia="Times New Roman" w:hAnsi="Times New Roman"/>
          <w:sz w:val="14"/>
          <w:szCs w:val="14"/>
          <w:color w:val="auto"/>
        </w:rPr>
        <w:t>The following tables disaggregate revenues by reportable segment and major source for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5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gridSpan w:val="3"/>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4,829</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9,337</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3"/>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4,866</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4,483</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9,357</w:t>
            </w: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5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gridSpan w:val="3"/>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8,552</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4,590</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4,046</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8,643</w:t>
            </w: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5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8,612</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3"/>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8,696</w:t>
            </w: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61"/>
        </w:trPr>
        <w:tc>
          <w:tcPr>
            <w:tcW w:w="5460" w:type="dxa"/>
            <w:vAlign w:val="bottom"/>
          </w:tcPr>
          <w:p>
            <w:pPr>
              <w:spacing w:after="0"/>
              <w:rPr>
                <w:sz w:val="14"/>
                <w:szCs w:val="14"/>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1"/>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3,684</w:t>
            </w:r>
          </w:p>
        </w:tc>
      </w:tr>
      <w:tr>
        <w:trPr>
          <w:trHeight w:val="168"/>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(1)</w:t>
            </w: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8"/>
        </w:trPr>
        <w:tc>
          <w:tcPr>
            <w:tcW w:w="5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revenues</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61"/>
        </w:trPr>
        <w:tc>
          <w:tcPr>
            <w:tcW w:w="5520" w:type="dxa"/>
            <w:vAlign w:val="bottom"/>
          </w:tcPr>
          <w:p>
            <w:pPr>
              <w:spacing w:after="0"/>
              <w:rPr>
                <w:sz w:val="14"/>
                <w:szCs w:val="14"/>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4,083</w:t>
            </w:r>
          </w:p>
        </w:tc>
      </w:tr>
      <w:tr>
        <w:trPr>
          <w:trHeight w:val="168"/>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88"/>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p>
      <w:pPr>
        <w:spacing w:after="0" w:line="200"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Electric (CenterPoint Energy and Houston Electric). </w:t>
      </w:r>
      <w:r>
        <w:rPr>
          <w:rFonts w:ascii="Times New Roman" w:cs="Times New Roman" w:eastAsia="Times New Roman" w:hAnsi="Times New Roman"/>
          <w:sz w:val="14"/>
          <w:szCs w:val="14"/>
          <w:color w:val="auto"/>
        </w:rPr>
        <w:t>Houston Electric distributes electricity to customers over time and customers consume the electricity when delivered. Indiana Electric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generates, distributes and transmits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163" w:lineRule="exact"/>
        <w:rPr>
          <w:sz w:val="20"/>
          <w:szCs w:val="20"/>
          <w:color w:val="auto"/>
        </w:rPr>
      </w:pPr>
    </w:p>
    <w:p>
      <w:pPr>
        <w:ind w:right="120"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Natural Gas (CenterPoint Energy and CERC). </w:t>
      </w:r>
      <w:r>
        <w:rPr>
          <w:rFonts w:ascii="Times New Roman" w:cs="Times New Roman" w:eastAsia="Times New Roman" w:hAnsi="Times New Roman"/>
          <w:sz w:val="14"/>
          <w:szCs w:val="14"/>
          <w:color w:val="auto"/>
        </w:rPr>
        <w:t>CenterPoint Energy and CERC distribute and transport natural gas to customers over time and customers consume the natural gas when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delivered. Revenue, consisting of both volumetric and fixed tariff rates set by the state governing agency for that service area, is recognized as natural gas is delivered and represents amounts both billed and unbilled. Discretionary services requested by the customer are provided at a point in time with control transferring upon completion of the service. Revenue for discretionary services is recognized upon completion of service based on the tariff rates set by the applicable state regulator. Payments of natural gas distribution, transportation and discretionary services are aggregated and received on a monthly basis.</w:t>
      </w:r>
    </w:p>
    <w:p>
      <w:pPr>
        <w:spacing w:after="0" w:line="161"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Contract Balances. </w:t>
      </w:r>
      <w:r>
        <w:rPr>
          <w:rFonts w:ascii="Times New Roman" w:cs="Times New Roman" w:eastAsia="Times New Roman" w:hAnsi="Times New Roman"/>
          <w:sz w:val="14"/>
          <w:szCs w:val="14"/>
          <w:color w:val="auto"/>
        </w:rPr>
        <w:t>When the timing of delivery of service is different from the timing of the payments made by customers and when the right to consideration is conditioned on something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than the passage of time, the Registrants recognize a contract liability when customer payment precedes performance. Those customers that prepay are represented by contract liabilities until the performance obligations are satisfied. The Registrants’ contract liabilities are included in Accounts payable and Other current liabilities in their Consolidated Balance Sheets.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opening and closing balances of accounts receivable and accrued unbilled revenues from contracts with customers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1F1F"/>
        </w:rPr>
        <w:t>CenterPoint Energy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Receivable (1) (2)</w:t>
            </w: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Accrued Unbilled Revenues (2)</w:t>
            </w:r>
          </w:p>
        </w:tc>
      </w:tr>
      <w:tr>
        <w:trPr>
          <w:trHeight w:val="16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60" w:type="dxa"/>
            <w:vAlign w:val="bottom"/>
          </w:tcPr>
          <w:p>
            <w:pPr>
              <w:spacing w:after="0"/>
              <w:rPr>
                <w:sz w:val="14"/>
                <w:szCs w:val="14"/>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December 31, 2025</w:t>
            </w: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w:t>
            </w:r>
          </w:p>
        </w:tc>
      </w:tr>
      <w:tr>
        <w:trPr>
          <w:trHeight w:val="188"/>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57"/>
        </w:numPr>
        <w:rPr>
          <w:rFonts w:ascii="Times New Roman" w:cs="Times New Roman" w:eastAsia="Times New Roman" w:hAnsi="Times New Roman"/>
          <w:sz w:val="14"/>
          <w:szCs w:val="14"/>
          <w:color w:val="221F1F"/>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w:t>
      </w:r>
    </w:p>
    <w:p>
      <w:pPr>
        <w:spacing w:after="0" w:line="23" w:lineRule="exact"/>
        <w:rPr>
          <w:rFonts w:ascii="Times New Roman" w:cs="Times New Roman" w:eastAsia="Times New Roman" w:hAnsi="Times New Roman"/>
          <w:sz w:val="14"/>
          <w:szCs w:val="14"/>
          <w:color w:val="221F1F"/>
        </w:rPr>
      </w:pPr>
    </w:p>
    <w:p>
      <w:pPr>
        <w:ind w:left="520" w:right="440" w:hanging="260"/>
        <w:spacing w:after="0" w:line="266" w:lineRule="auto"/>
        <w:tabs>
          <w:tab w:leader="none" w:pos="51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opening balance as of December 31, 2024 also excluded receivables associated with the sale of CERC Corp.’s Louisiana and Mississippi natural gas LDC businesses</w:t>
      </w:r>
      <w:r>
        <w:rPr>
          <w:rFonts w:ascii="Times New Roman" w:cs="Times New Roman" w:eastAsia="Times New Roman" w:hAnsi="Times New Roman"/>
          <w:sz w:val="14"/>
          <w:szCs w:val="14"/>
          <w:color w:val="221F1F"/>
        </w:rPr>
        <w:t>. T</w:t>
      </w:r>
      <w:r>
        <w:rPr>
          <w:rFonts w:ascii="Times New Roman" w:cs="Times New Roman" w:eastAsia="Times New Roman" w:hAnsi="Times New Roman"/>
          <w:sz w:val="14"/>
          <w:szCs w:val="14"/>
          <w:color w:val="auto"/>
        </w:rPr>
        <w:t>he closing balance as of December 31, 2025 also excluded receivables classified as held for sale associated with the Ohio natural gas LDC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1F1F"/>
        </w:rPr>
        <w:t>Houston Electric</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7"/>
              </w:rPr>
              <w:t>Accrued Unbilled Revenues</w:t>
            </w:r>
          </w:p>
        </w:tc>
      </w:tr>
      <w:tr>
        <w:trPr>
          <w:trHeight w:val="161"/>
        </w:trPr>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80" w:type="dxa"/>
            <w:vAlign w:val="bottom"/>
            <w:gridSpan w:val="4"/>
          </w:tcPr>
          <w:p>
            <w:pPr>
              <w:jc w:val="right"/>
              <w:ind w:right="141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Closing balance as of December 31, 2025</w:t>
            </w: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88"/>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Increase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w:t>
      </w:r>
      <w:r>
        <w:rPr>
          <w:rFonts w:ascii="Times New Roman" w:cs="Times New Roman" w:eastAsia="Times New Roman" w:hAnsi="Times New Roman"/>
          <w:sz w:val="14"/>
          <w:szCs w:val="14"/>
          <w:color w:val="221F1F"/>
        </w:rPr>
        <w: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4"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color w:val="221F1F"/>
        </w:rPr>
        <w:t>CERC</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Accounts Receivable (1) (2)</w:t>
            </w: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Accrued Unbilled Revenues (2)</w:t>
            </w:r>
          </w:p>
        </w:tc>
      </w:tr>
      <w:tr>
        <w:trPr>
          <w:trHeight w:val="161"/>
        </w:trPr>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3"/>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4"/>
                <w:szCs w:val="14"/>
                <w:color w:val="auto"/>
              </w:rPr>
            </w:pP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Closing balance as of December 31, 2025</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88"/>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Increase (decrease)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59"/>
        </w:numPr>
        <w:rPr>
          <w:rFonts w:ascii="Times New Roman" w:cs="Times New Roman" w:eastAsia="Times New Roman" w:hAnsi="Times New Roman"/>
          <w:sz w:val="14"/>
          <w:szCs w:val="14"/>
          <w:color w:val="221F1F"/>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w:t>
      </w:r>
    </w:p>
    <w:p>
      <w:pPr>
        <w:spacing w:after="0" w:line="23" w:lineRule="exact"/>
        <w:rPr>
          <w:rFonts w:ascii="Times New Roman" w:cs="Times New Roman" w:eastAsia="Times New Roman" w:hAnsi="Times New Roman"/>
          <w:sz w:val="14"/>
          <w:szCs w:val="14"/>
          <w:color w:val="221F1F"/>
        </w:rPr>
      </w:pPr>
    </w:p>
    <w:p>
      <w:pPr>
        <w:ind w:left="520" w:right="440" w:hanging="260"/>
        <w:spacing w:after="0" w:line="266" w:lineRule="auto"/>
        <w:tabs>
          <w:tab w:leader="none" w:pos="51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opening balance as of December 31, 2024 also excluded receivables associated with the sale of CERC Corp.’s Louisiana and Mississippi natural gas LDC businesses</w:t>
      </w:r>
      <w:r>
        <w:rPr>
          <w:rFonts w:ascii="Times New Roman" w:cs="Times New Roman" w:eastAsia="Times New Roman" w:hAnsi="Times New Roman"/>
          <w:sz w:val="14"/>
          <w:szCs w:val="14"/>
          <w:color w:val="221F1F"/>
        </w:rPr>
        <w:t>. T</w:t>
      </w:r>
      <w:r>
        <w:rPr>
          <w:rFonts w:ascii="Times New Roman" w:cs="Times New Roman" w:eastAsia="Times New Roman" w:hAnsi="Times New Roman"/>
          <w:sz w:val="14"/>
          <w:szCs w:val="14"/>
          <w:color w:val="auto"/>
        </w:rPr>
        <w:t>he closing balance as of December 31, 2025 also excluded receivables classified as held for sale associated with the Ohio natural gas LDC business.</w:t>
      </w:r>
    </w:p>
    <w:p>
      <w:pPr>
        <w:spacing w:after="0" w:line="157" w:lineRule="exact"/>
        <w:rPr>
          <w:sz w:val="20"/>
          <w:szCs w:val="20"/>
          <w:color w:val="auto"/>
        </w:rPr>
      </w:pPr>
    </w:p>
    <w:p>
      <w:pPr>
        <w:ind w:right="8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Practical Expedients and Exemption. </w:t>
      </w:r>
      <w:r>
        <w:rPr>
          <w:rFonts w:ascii="Times New Roman" w:cs="Times New Roman" w:eastAsia="Times New Roman" w:hAnsi="Times New Roman"/>
          <w:sz w:val="14"/>
          <w:szCs w:val="14"/>
          <w:color w:val="auto"/>
        </w:rPr>
        <w:t>Sales taxes and other similar taxes collected from customers are excluded from the transaction price.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221F1F"/>
        </w:rPr>
        <w:t>For contracts for which revenue from the satisfaction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221F1F"/>
        </w:rPr>
        <w:t>of the performance obligations is recognized in the amount invoiced, the practical expedient was elected and revenue expected to be recognized on these contracts has not been disclosed.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1F1F"/>
        </w:rPr>
        <w:t>Allowance for Credit Losses and Bad Debt Expense</w:t>
      </w:r>
    </w:p>
    <w:p>
      <w:pPr>
        <w:spacing w:after="0" w:line="20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221F1F"/>
        </w:rPr>
        <w:t>CenterPoint Energy and CERC segregate financial assets that fall under the scope of ASU 2016-13, Financial Instruments - Credit Losses (Topic 326): Measurement of Credit Losses on Financial Instruments,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see Note 7.</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Registrants’ bad debt expense amounts for the periods presented, net of regulatory deferrals: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4"/>
        </w:trPr>
        <w:tc>
          <w:tcPr>
            <w:tcW w:w="2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700" w:type="dxa"/>
            <w:vAlign w:val="bottom"/>
            <w:tcBorders>
              <w:bottom w:val="single" w:sz="8" w:color="auto"/>
            </w:tcBorders>
          </w:tcPr>
          <w:p>
            <w:pPr>
              <w:spacing w:after="0"/>
              <w:rPr>
                <w:sz w:val="13"/>
                <w:szCs w:val="13"/>
                <w:color w:val="auto"/>
              </w:rPr>
            </w:pPr>
          </w:p>
        </w:tc>
      </w:tr>
      <w:tr>
        <w:trPr>
          <w:trHeight w:val="150"/>
        </w:trPr>
        <w:tc>
          <w:tcPr>
            <w:tcW w:w="216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2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Bad debt expense</w:t>
            </w: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21</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color w:val="auto"/>
        </w:rPr>
        <w:t>(6) Goodwill (CenterPoint Energy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goodwill by reportable segment is as follows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Electric (1)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1"/>
        </w:trPr>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3"/>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4,160</w:t>
            </w:r>
          </w:p>
        </w:tc>
      </w:tr>
      <w:tr>
        <w:trPr>
          <w:trHeight w:val="168"/>
        </w:trPr>
        <w:tc>
          <w:tcPr>
            <w:tcW w:w="4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Held for Sale (2)</w:t>
            </w:r>
          </w:p>
        </w:tc>
        <w:tc>
          <w:tcPr>
            <w:tcW w:w="1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6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1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r>
      <w:tr>
        <w:trPr>
          <w:trHeight w:val="168"/>
        </w:trPr>
        <w:tc>
          <w:tcPr>
            <w:tcW w:w="4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Held for Sale (3)</w:t>
            </w:r>
          </w:p>
        </w:tc>
        <w:tc>
          <w:tcPr>
            <w:tcW w:w="1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18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2025</w:t>
            </w:r>
          </w:p>
        </w:tc>
        <w:tc>
          <w:tcPr>
            <w:tcW w:w="118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presented net of the accumulated goodwill impairment charge of $185 million recorded in 2020.</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attributable to the Louisiana and Mississippi natural gas LDC businesses classified as held for sale as of December 31, 2024 and subsequently derecognized following completion of the sale on March 31, 2025. CenterPoint Energy did not recognize any goodwill impairments within the Natural Gas reportable segment for the year ended December 31, 2024. For further information, see Note 4.</w:t>
      </w:r>
    </w:p>
    <w:p>
      <w:pPr>
        <w:ind w:left="520" w:right="140" w:hanging="260"/>
        <w:spacing w:after="0" w:line="266" w:lineRule="auto"/>
        <w:tabs>
          <w:tab w:leader="none" w:pos="51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attributable to the Ohio natural gas LDC business classified as held for sale as of December 31, 2025. CenterPoint Energy did not recognize any goodwill impairments within the Natural Gas reportable segment for the year ended December 31, 2025. For further information, see Note 4.</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CERC’s goodwill is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1"/>
        </w:trPr>
        <w:tc>
          <w:tcPr>
            <w:tcW w:w="9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w:t>
            </w:r>
          </w:p>
        </w:tc>
      </w:tr>
      <w:tr>
        <w:trPr>
          <w:trHeight w:val="168"/>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Held for Sale (1)</w:t>
            </w: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r>
      <w:tr>
        <w:trPr>
          <w:trHeight w:val="168"/>
        </w:trPr>
        <w:tc>
          <w:tcPr>
            <w:tcW w:w="9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Held for Sale (2)</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9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2025</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20" w:right="160" w:hanging="260"/>
        <w:spacing w:after="0" w:line="263" w:lineRule="auto"/>
        <w:tabs>
          <w:tab w:leader="none" w:pos="51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attributable to the Louisiana and Mississippi natural gas LDC businesses classified as held for sale as of December 31, 2024 and subsequently derecognized following the completion of the sale on March 31, 2025. CERC did not recognize any goodwill impairments for the year ended December 31, 2024. For further information, see Note 4.</w:t>
      </w:r>
    </w:p>
    <w:p>
      <w:pPr>
        <w:ind w:left="520" w:right="280" w:hanging="260"/>
        <w:spacing w:after="0" w:line="266" w:lineRule="auto"/>
        <w:tabs>
          <w:tab w:leader="none" w:pos="51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attributable to the Ohio natural gas LDC business classified as held for sale as of December 31, 2025. CERC did not recognize any goodwill impairments during the year ended December 31, 2025. For further information, see Note 4.</w:t>
      </w:r>
    </w:p>
    <w:p>
      <w:pPr>
        <w:spacing w:after="0" w:line="159"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performed their annual goodwill impairment tests in the third quarter of each of 2025 and 2024 and determined that no goodwill impairment charge was required for any reporting unit as a result of those tests.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color w:val="auto"/>
        </w:rPr>
        <w:t>(7) Regulatory Matters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list of regulatory assets and liabilities reflected on the Registrants’ respective Consolidated Balance Sheets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59"/>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Assets: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Future amounts recoverable from ratepayers related to:</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Benefit obligations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 retirement obligations &amp; other</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deferred income taxes</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future amounts recoverable from ratepayers</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15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deferred for future recovery related to:</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recovery riders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Hurricanes and February 2021 Winter Storm Event Restoration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May 2024 Storm Events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Hurricane Beryl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Hurricane Francine</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Winter Storm Enzo</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regulatory assets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Decoupling</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TEEEF</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Unrecognized equity return (2)</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amounts deferred for future recovery</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5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currently recovered in customer rates related to:</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Authorized trackers and cost deferrals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Securitized regulatory assets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Unamortized loss on reacquired debt and hedging</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Gas recovery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Decoupling</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Extraordinary gas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Regulatory assets related to TCJA</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Hurricanes and February 2021 Winter Storm Event restoration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regulatory assets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Benefit obligations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TEEEF</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Unrecognized equity return (2)</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amounts recovered in customer rates (3)</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88"/>
        </w:trPr>
        <w:tc>
          <w:tcPr>
            <w:tcW w:w="6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Regulatory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Total Current Regulatory Assets</w:t>
            </w: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800" w:type="dxa"/>
            <w:vAlign w:val="bottom"/>
            <w:tcBorders>
              <w:top w:val="single" w:sz="8" w:color="CCEEFF"/>
              <w:bottom w:val="single" w:sz="8" w:color="CCEEFF"/>
            </w:tcBorders>
            <w:vMerge w:val="continue"/>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Non-Current Regulatory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0" w:type="dxa"/>
            <w:vAlign w:val="bottom"/>
          </w:tcPr>
          <w:p>
            <w:pPr>
              <w:spacing w:after="0"/>
              <w:rPr>
                <w:sz w:val="1"/>
                <w:szCs w:val="1"/>
                <w:color w:val="auto"/>
              </w:rPr>
            </w:pPr>
          </w:p>
        </w:tc>
      </w:tr>
      <w:tr>
        <w:trPr>
          <w:trHeight w:val="194"/>
        </w:trPr>
        <w:tc>
          <w:tcPr>
            <w:tcW w:w="6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Liabilities: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Regulatory liabilities related to TCJA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100" w:type="dxa"/>
            <w:vAlign w:val="bottom"/>
          </w:tcPr>
          <w:p>
            <w:pPr>
              <w:spacing w:after="0"/>
              <w:rPr>
                <w:sz w:val="14"/>
                <w:szCs w:val="14"/>
                <w:color w:val="auto"/>
              </w:rPr>
            </w:pP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Estimated removal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regulatory liabilities</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88"/>
        </w:trPr>
        <w:tc>
          <w:tcPr>
            <w:tcW w:w="6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Regulatory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Total Current Regulatory Liabilities (4)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8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Non-Current Regulatory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59"/>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Assets: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Future amounts recoverable from ratepayers related to:</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Benefit obligations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 retirement obligations &amp; other</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deferred income taxes</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future amounts recoverable from ratepayers</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w:t>
            </w:r>
          </w:p>
        </w:tc>
      </w:tr>
      <w:tr>
        <w:trPr>
          <w:trHeight w:val="15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deferred for future recovery related to:</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recovery riders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Hurricanes and February 2021 Winter Storm Event Restoration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May 2024 Storm Events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Hurricane Beryl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Hurricane Francine</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regulatory assets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Decoupling</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TEEEF</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Unrecognized equity return (2)</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amounts deferred for future recovery</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Amounts currently recovered in customer rates related to:</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Authorized trackers and cost deferrals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Securitized regulatory assets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Unamortized loss on reacquired debt and hedging</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Gas recovery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Decoupling</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Extraordinary gas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 related to TCJA</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Hurricanes and February 2021 Winter Storm Event Restoration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regulatory assets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 obligations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TEEEF</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Unrecognized equity return (2)</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amounts recovered in customer rates</w:t>
            </w: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r>
      <w:tr>
        <w:trPr>
          <w:trHeight w:val="163"/>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Regulatory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1,141</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2"/>
        </w:trPr>
        <w:tc>
          <w:tcPr>
            <w:tcW w:w="6800" w:type="dxa"/>
            <w:vAlign w:val="bottom"/>
            <w:shd w:val="clear" w:color="auto" w:fill="CCEEFF"/>
          </w:tcPr>
          <w:p>
            <w:pPr>
              <w:ind w:left="400"/>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Regulatory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58"/>
        </w:trPr>
        <w:tc>
          <w:tcPr>
            <w:tcW w:w="6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Total Non-Current Regulatory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w:t>
            </w:r>
          </w:p>
        </w:tc>
      </w:tr>
      <w:tr>
        <w:trPr>
          <w:trHeight w:val="141"/>
        </w:trPr>
        <w:tc>
          <w:tcPr>
            <w:tcW w:w="6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Liabilities: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liabilities related to TCJA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Estimated removal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r>
      <w:tr>
        <w:trPr>
          <w:trHeight w:val="17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regulatory liabilities</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163"/>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Regulatory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1,927</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2"/>
        </w:trPr>
        <w:tc>
          <w:tcPr>
            <w:tcW w:w="6800" w:type="dxa"/>
            <w:vAlign w:val="bottom"/>
            <w:shd w:val="clear" w:color="auto" w:fill="CCEEFF"/>
          </w:tcPr>
          <w:p>
            <w:pPr>
              <w:ind w:left="400"/>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Regulatory Liabilities (4)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Non-Current Regulatory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1,887</w:t>
            </w:r>
          </w:p>
        </w:tc>
      </w:tr>
    </w:tbl>
    <w:p>
      <w:pPr>
        <w:spacing w:after="0" w:line="60" w:lineRule="exact"/>
        <w:rPr>
          <w:sz w:val="20"/>
          <w:szCs w:val="20"/>
          <w:color w:val="auto"/>
        </w:rPr>
      </w:pPr>
    </w:p>
    <w:p>
      <w:pPr>
        <w:ind w:left="500" w:hanging="240"/>
        <w:spacing w:after="0"/>
        <w:tabs>
          <w:tab w:leader="none" w:pos="5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and postretirement-related regulatory assets balances are actuarially valued annually.</w:t>
      </w:r>
    </w:p>
    <w:p>
      <w:pPr>
        <w:spacing w:after="0" w:line="23" w:lineRule="exact"/>
        <w:rPr>
          <w:rFonts w:ascii="Times New Roman" w:cs="Times New Roman" w:eastAsia="Times New Roman" w:hAnsi="Times New Roman"/>
          <w:sz w:val="14"/>
          <w:szCs w:val="14"/>
          <w:color w:val="auto"/>
        </w:rPr>
      </w:pPr>
    </w:p>
    <w:p>
      <w:pPr>
        <w:jc w:val="both"/>
        <w:ind w:left="520" w:right="160" w:hanging="260"/>
        <w:spacing w:after="0" w:line="253" w:lineRule="auto"/>
        <w:tabs>
          <w:tab w:leader="none" w:pos="515"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following: (a) CenterPoint Energy’s allowed equity return on post in-service carrying cost generally associated with investments in SIGECO; (b) Houston Electric’s allowed equity return on TEEEF costs and storm restoration costs; and (c) CERC’s allowed equity return on post in-service carrying cost associated with certain distribution facilities replacements expenditures in Texas and for Indiana Gas.</w:t>
      </w:r>
    </w:p>
    <w:p>
      <w:pPr>
        <w:ind w:left="520" w:right="80" w:hanging="260"/>
        <w:spacing w:after="0" w:line="259" w:lineRule="auto"/>
        <w:tabs>
          <w:tab w:leader="none" w:pos="515"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$1.5 billion, $762 million and $289 million currently being recovered in customer rates related to CenterPoint Energy, Houston Electric and CERC, respectively, $790 million, $733 million and $48 million is earning a return, respectively. The weighted average recovery period of regulatory assets currently being recovered in base rates, not earning a return, which totals $729 million, $29 million and $241 million for CenterPoint Energy, Houston Electric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43" w:name="page144"/>
    <w:bookmarkEnd w:id="143"/>
    <w:p>
      <w:pPr>
        <w:ind w:left="520" w:right="120"/>
        <w:spacing w:after="0" w:line="263" w:lineRule="auto"/>
        <w:rPr>
          <w:sz w:val="20"/>
          <w:szCs w:val="20"/>
          <w:color w:val="auto"/>
        </w:rPr>
      </w:pPr>
      <w:r>
        <w:rPr>
          <w:rFonts w:ascii="Times New Roman" w:cs="Times New Roman" w:eastAsia="Times New Roman" w:hAnsi="Times New Roman"/>
          <w:sz w:val="14"/>
          <w:szCs w:val="14"/>
          <w:color w:val="auto"/>
        </w:rPr>
        <w:t>and CERC, respectively, is 13 years, 24 years and 6 years, respectively. Regulatory assets not earning a return with perpetual or undeterminable lives have been excluded from the weighted average recovery period calculation.</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 Current regulatory liabilities are included in Other current liabilities in each of the Registrants’ respective Consolidated Balance Sheets.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amount of allowed equity return recognized by each Registrant in its Statements of Consolidated Income for the periods presented: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4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0"/>
        </w:trPr>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34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Allowed equity return</w:t>
            </w:r>
          </w:p>
        </w:tc>
        <w:tc>
          <w:tcPr>
            <w:tcW w:w="460" w:type="dxa"/>
            <w:vAlign w:val="bottom"/>
            <w:vMerge w:val="restart"/>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38</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w:t>
            </w:r>
          </w:p>
        </w:tc>
        <w:tc>
          <w:tcPr>
            <w:tcW w:w="46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February 2021 Winter Storm Event</w:t>
      </w:r>
    </w:p>
    <w:p>
      <w:pPr>
        <w:spacing w:after="0" w:line="202"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Indiana and Texas, and continue to recover the natural gas cost in Minnesota. As of December 31, 2025, each of CenterPoint Energy and CERC had recorded a current regulatory asset of $70 million associated with the February 2021 Winter Storm Event. As of December 31, 2024, each of CenterPoint Energy and CERC had recorded current regulatory assets of $67 million and non-current regulatory assets of $67 million associated with the February 2021 Winter Storm Event.</w:t>
      </w:r>
    </w:p>
    <w:p>
      <w:pPr>
        <w:spacing w:after="0" w:line="16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2025 and 2024, as authorized by the PUCT, both CenterPoint Energy and Houston Electric had each recorded a regulatory asset of $7 million and $8 million, respectively, for bad debt expenses resulting from REPs’ default on their obligation to pay delivery charges to Houston Electric net of collateral. Additionally, both CenterPoint Energy and Houston Electric had each recorded a regulatory asset of $17 million and $19 million as of December 31, 2025 and 2024, respectively, for reimbursement of costs associated with the February 2021 Winter Storm Event. Each of the aforementioned regulatory assets are being amortized over five years beginning April 28, 2025, which was the date that rates became effective following the PUCT’s final order in the Houston Electric rate case.</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14(c) for further information regarding litigation related to the February 2021 Winter Storm Event.</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Texas Public Securitization</w:t>
      </w:r>
    </w:p>
    <w:p>
      <w:pPr>
        <w:spacing w:after="0" w:line="20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As CenterPoint Energy and CERC have no future financial obligations for the repayment of the state’s customer rate relief bonds, the customer rate relief bonds are not recorded on CenterPoint Energy’s or CERC’s balance sheets. The $1.1 billion in cash proceeds from the state’s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4" w:name="page145"/>
    <w:bookmarkEnd w:id="144"/>
    <w:p>
      <w:pPr>
        <w:ind w:right="560"/>
        <w:spacing w:after="0" w:line="287" w:lineRule="auto"/>
        <w:rPr>
          <w:sz w:val="20"/>
          <w:szCs w:val="20"/>
          <w:color w:val="auto"/>
        </w:rPr>
      </w:pPr>
      <w:r>
        <w:rPr>
          <w:rFonts w:ascii="Times New Roman" w:cs="Times New Roman" w:eastAsia="Times New Roman" w:hAnsi="Times New Roman"/>
          <w:sz w:val="14"/>
          <w:szCs w:val="14"/>
          <w:color w:val="auto"/>
        </w:rPr>
        <w:t>customer rate relief charges collected to the financing entity set up by the Railroad Commission. Therefore, the collection and servicing of customer rate relief charges have no impact on the respective Statements of Consolidated Income of CenterPoint Energy or CERC.</w:t>
      </w:r>
    </w:p>
    <w:p>
      <w:pPr>
        <w:spacing w:after="0" w:line="14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U.S. GAAP has no specific accounting guidance for government grants or assistance, the cash proceeds from the state’s customer rate relief bonds were accounted for as a government grant by analogy to the grant model under IAS 20—Accounting for Government Grants and Disclosures of Government Assistance. CenterPoint Energy and CERC reflect the proceeds from the grant as a deduction to natural gas costs and recognized the $1.1 billion of cash proceeds from the state’s customer rate relief bonds within Utility natural gas expense on their respective Statements of Consolidated Income in the year ended December 31, 2023, net of the recognition of natural gas cost related to relieving CenterPoint Energy and CERC’s regulatory assets related to the February 2021 Winter Storm Event in the same period.</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Securitization of Generation Retirements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4, 2023, the IURC issued an order in accordance with Indiana Senate Enrolled Act 386 authorizing the issuance of up to $350 million in securitization bonds to securitize qualified</w:t>
      </w:r>
    </w:p>
    <w:p>
      <w:pPr>
        <w:spacing w:after="0" w:line="4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costs associated with the retirements of Indiana Electric’s A.B. Brown coal-fired generation facilities. Accordingly, CenterPoint Energy determined that the retirement of property, plant and equipment became probable upon the issuance of the order. No loss on abandonment was recognized in connection with issuance of the order as there was no disallowance of all or part of the cost of the abandoned property, plant and equipment. In the first quarter of 2023, upon receipt of the order, CenterPoint Energy reclassified property, plant and equipment to be recovered through securitization to a regulatory asset and such amounts earned a full return until subsequently recovered through securitization, as described below.</w:t>
      </w:r>
    </w:p>
    <w:p>
      <w:pPr>
        <w:spacing w:after="0" w:line="162" w:lineRule="exact"/>
        <w:rPr>
          <w:sz w:val="20"/>
          <w:szCs w:val="20"/>
          <w:color w:val="auto"/>
        </w:rPr>
      </w:pPr>
    </w:p>
    <w:p>
      <w:pPr>
        <w:ind w:firstLine="255"/>
        <w:spacing w:after="0" w:line="334" w:lineRule="auto"/>
        <w:rPr>
          <w:sz w:val="20"/>
          <w:szCs w:val="20"/>
          <w:color w:val="auto"/>
        </w:rPr>
      </w:pPr>
      <w:r>
        <w:rPr>
          <w:rFonts w:ascii="Times New Roman" w:cs="Times New Roman" w:eastAsia="Times New Roman" w:hAnsi="Times New Roman"/>
          <w:sz w:val="14"/>
          <w:szCs w:val="14"/>
          <w:color w:val="auto"/>
        </w:rPr>
        <w:t>The SIGECO Securitization Subsidiary issued $341 million aggregate principal amount of the SIGECO Securitization Bonds on June 29, 2023 and used a portion of the net proceeds from the issuance of the SIGECO Securitization Bonds to purchase the securitization property from SIGECO. No gain or loss was recognized.</w:t>
      </w:r>
    </w:p>
    <w:p>
      <w:pPr>
        <w:spacing w:after="0" w:line="11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SIGECO Securitization Bonds are secured by the securitization property, which includes the right to recover, through non-bypassable securitization charges payable by SIGECO’s retail electric customers, the qualified costs of SIGECO authorized by the IURC order. The SIGECO Securitization Subsidiary, and not SIGECO, is the owner of the securitization property, and the assets of the SIGECO Securitization Subsidiary are not available to pay the creditors of SIGECO or its affiliates, other than the SIGECO Securitization Subsidiary.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TEEEF (CenterPoint Energy and Houston Electric)</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Pursuant to Texas legislation passed in 2021, Houston Electric entered into two leases for medium (5.7 MW) and large (27 MW to 32 MW) TEEEF. 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December 31, 2025. Expenses associated with the short-term lease, including carrying costs, were deferred in a regulatory asset as a recoverable cost under the 2021 Texas legislation and totaled $78 million and $89 million as of December 31, 2025 and 2024, respectively. Expenses associated with the long-term lease, including variable costs associated with the operation and maintenance of the TEEEF, depreciation expense on the right of use asset and carrying costs, are deferred in a regulatory asset as a recoverable cost under the 2021 Texas legislation and totaled $123 million and $158 million as of December 31, 2025 and 2024, respectively.</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Right of use finance lease assets, such as assets acquired under the long-term leases that are still included in the rate base of the regulated utility, are evaluated for impairment under the long-lived asset impairment model by assessing if a capital disallowance from a regulator is probable through monitoring the outcome of rate cases and other proceedings. Houston Electric continues to monitor the ongoing proceedings and did not record any impairments or disallowances on its right of use assets or TEEEF regulatory assets during the years ended December 31, 2025 or 2024.</w:t>
      </w:r>
    </w:p>
    <w:p>
      <w:pPr>
        <w:spacing w:after="0" w:line="157"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Effective January 1, 2023, all medium and large TEEEF was leased under the long-term lease agreement. The long-term lease agreement includes up to 519 MW of TEEEF, all of which was delivered as of December 31, 2022, triggering lease commencement at delivery, with an initial term ending in 2029 for all such TEEEF leases. The remaining finance lease liability associated with the commenced long-term TEEEF agreement was not significant as of December 31, 2025 and 2024 and relates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color w:val="auto"/>
        </w:rPr>
        <w:t>to removal costs that will be incurred at the end of the lease term. As of December 31, 2025, Houston Electric had secured a first lien on all the assets leased under the prepayment agreement.</w:t>
      </w:r>
    </w:p>
    <w:p>
      <w:pPr>
        <w:spacing w:after="0" w:line="200"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On December 19, 2024, Houston Electric announced a proposal to release its 15 large TEEEF units to ERCOT at CPS Energy facilities to serve the greater San Antonio region for a period of up to two years. On April 18, 2025, a proposal was filed with the PUCT (Docket 57980) seeking approval of the aforementioned release to ERCOT and CPS Energy, a corresponding reduction to TEEEF fleet capacity and a rate reduction to reflect the removal of the 15 large TEEEF units from Houston Electric’s TEEEF fleet. On June 4, 2025, Houston Electric entered into the ERCOT Transaction, subject to PUCT approval in Docket 57980, to release the 15 large TEEEF units to the San Antonio area until March 2027 unless terminated earlier pursuant to the provisions of the ERCOT Transaction, during which time Houston Electric will not receive revenue or profit from ERCOT and will not charge Houston-area customers for such TEEEF units while they remain in the San Antonio area serving ERCOT. Following the completion of service in the San Antonio area, Houston Electric anticipates that it would complete one or more future transactions involving the large TEEEF units; because the TEEEF units would not be available to serve customers during such time, Houston Electric plans to continue to not charge customers for these units for any future periods. On June 5, 2025, certain intervenors submitted a joint request for hearing. On July 9, 2025, the PUCT referred this docket to the SOAH. On October 13, 2025, intervenor testimony was filed. On November 21, 2025 Houston Electric filed supplemental testimony proposing removal of its five medium TEEEF units from its fleet and rates. On February 13, 2026, Houston Electric requested continued abatement until February 27, 2026 due to continued settlement discussions. Following removal of the 15 large TEEEF units from customer rates, such TEEEF units are subject to impairment testing under ASC 360.</w:t>
      </w:r>
    </w:p>
    <w:p>
      <w:pPr>
        <w:spacing w:after="0" w:line="169"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On September 11, 2024, the TCA filed a complaint with the PUCT requesting that the PUCT modify its rulings with respect to its prior decisions related to Houston Electric’s TEEEF filings made in 2022 and 2023. Specifically, the TCA requested that the PUCT end cost recovery and return on investment on all the large up to 32 MW and medium 5.7 MW TEEEF units approved in Docket 53442. On June 29, 2025, Order No. 9 was issued, to abate this complaint case until a final order is issued in Docket 57980.</w:t>
      </w:r>
    </w:p>
    <w:p>
      <w:pPr>
        <w:spacing w:after="0" w:line="15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Pursuant to Texas legislation passed in 2023, Houston Electric has entered into contractual arrangements to facilitate access to small (200 kW to 1,250 kW) TEEEF units. In January, 2025, the PUCT adopted the TEEEF Rule, which refined the scope of TEEEF filings that can be made pursuant to applicable Texas regulations, and in February 2026, the TEEEF Rule was amended pursuant to Texas Senate Bill 231 to, among other things, prohibit TDUs from entering into, renewing or extending leases for TEEEF units unless such units have a maximum generation capacity of 5 or fewer MW and are rapidly deployable. The TEEEF Rule has specific provisions relating to when and how utilities must request PUCT authorization to lease TEEEF units, and it generally requires a utility to obtain preapproval prior to renewing or entering into a new lease of TEEEF units, with exceptions for emergency situations or if the lease includes a provision allowing for the alteration of the lease based on applicable PUCT orders or rules. Houston Electric believes that it continues to need small TEEEF units, and on May 27, 2025, Houston Electric filed an application pursuant to the TEEEF Rule requesting preapproval to enter into two leases for a combined approximately 20 MW of TEEEF capacity comprised of 36 small TEEEF units, each with a capacity range of 200 kW to 1,250 kW, for respective terms of 36 months. Approval of Houston Electric’s request in this filing will have no cost impact on customers at this time because cost determination will occur in a future proceeding. On October 13, 2025, Houston Electric filed errata and supplemental testimony to modify its application to instead request preapproval of just one lease for all 36 small TEEEF units. On December 3, 2025, Houston Electric filed a stipulation and settlement agreement. On January 6, 2026, Houston Electric provided the PUCT a proposed order. These proceedings remain ongoing and, until PUCT preapproval is received, Houston Electric plans to maintain the current contractual arrangement providing access to the small TEEEF units on a month-to-month basis.</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202" w:lineRule="exact"/>
        <w:rPr>
          <w:sz w:val="20"/>
          <w:szCs w:val="20"/>
          <w:color w:val="auto"/>
        </w:rPr>
      </w:pPr>
    </w:p>
    <w:p>
      <w:pPr>
        <w:ind w:right="120" w:firstLine="255"/>
        <w:spacing w:after="0" w:line="263" w:lineRule="auto"/>
        <w:rPr>
          <w:sz w:val="20"/>
          <w:szCs w:val="20"/>
          <w:color w:val="auto"/>
        </w:rPr>
      </w:pPr>
      <w:r>
        <w:rPr>
          <w:rFonts w:ascii="Times New Roman" w:cs="Times New Roman" w:eastAsia="Times New Roman" w:hAnsi="Times New Roman"/>
          <w:sz w:val="14"/>
          <w:szCs w:val="14"/>
          <w:color w:val="auto"/>
        </w:rPr>
        <w:t>Houston Electric’s electric delivery system suffered significant damage as a result of the May 2024 Storm Events. As is common with electric utilities serving coastal regions, the poles, towers, wires, street lights and pole-mounted equipment that comprise Houston Electric’s transmission and distribution system are not covered by property insurance.</w:t>
      </w:r>
    </w:p>
    <w:p>
      <w:pPr>
        <w:spacing w:after="0" w:line="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On November 8, 2024, Houston Electric filed an Application for Determination of System Restoration Costs with the PUCT to determine the reasonableness and necessity of approximately $502 million of costs (including estimated case processing expenses and carrying costs) incurred or expected to be incurred to restore service following the May 2024 Storm Events. On March 19, 2025, Houston Electric filed a settlement agreement with the PUCT, under which Houston Electric would be entitled to recover a total of $396 million in distribution-related costs relating to the May 2024 Storm Events, along with carrying costs from the date those costs were incurred until system restoration bonds are issued. The settlement agreement also provided for the recovery of $29 million in transmission-related costs related to the May 2024 Storm Events that will be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146" w:name="page147"/>
    <w:bookmarkEnd w:id="146"/>
    <w:p>
      <w:pPr>
        <w:ind w:right="60"/>
        <w:spacing w:after="0" w:line="259" w:lineRule="auto"/>
        <w:rPr>
          <w:sz w:val="20"/>
          <w:szCs w:val="20"/>
          <w:color w:val="auto"/>
        </w:rPr>
      </w:pPr>
      <w:r>
        <w:rPr>
          <w:rFonts w:ascii="Times New Roman" w:cs="Times New Roman" w:eastAsia="Times New Roman" w:hAnsi="Times New Roman"/>
          <w:sz w:val="14"/>
          <w:szCs w:val="14"/>
          <w:color w:val="auto"/>
        </w:rPr>
        <w:t>eligible for recovery through existing mechanisms established to recover transmission costs. Houston Electric agreed to defer $17.5 million of its distribution-related costs to the Hurricane Beryl cost determination proceeding and further agreed to an overall $10 million reduction in costs as part of the settlement agreement. A final order approving the settlement agreement was issued by the PUCT on April 24, 2025. On January 24, 2025, Houston Electric filed a request for a Financing Order for the distribution costs included in the November 8, 2024 Application for Determination of System Restoration Costs. On April 23, 2025, Houston Electric filed a settlement agreement with the PUCT, under which Houston Electric would be entitled to securitize the approved distribution-related costs. A final order approving the settlement agreement was issued by the PUCT on June 5, 2025. The PUCT issued an irrevocable Financing Order on June 5, 2025, which became final and non-appealable on June 20, 2025.</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connection with the securitization of the system restoration costs incurred in connection with the May 2024 Storm Events, on June 20, 2025, Houston Electric and Restoration Bond Company</w:t>
      </w:r>
    </w:p>
    <w:p>
      <w:pPr>
        <w:spacing w:after="0" w:line="23" w:lineRule="exact"/>
        <w:rPr>
          <w:sz w:val="20"/>
          <w:szCs w:val="20"/>
          <w:color w:val="auto"/>
        </w:rPr>
      </w:pPr>
    </w:p>
    <w:p>
      <w:pPr>
        <w:jc w:val="both"/>
        <w:ind w:right="100" w:firstLine="5"/>
        <w:spacing w:after="0" w:line="259" w:lineRule="auto"/>
        <w:tabs>
          <w:tab w:leader="none" w:pos="13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 registration statement, as amended on August 13, 2025 and as further amended on August 27, 2025, on Form SF-1 under the Securities Act with the SEC registering the public offering and sale of up to approximately $401.5 million aggregate principal amount of the Restoration Bond Company II Securitization Bonds. The registration statement became effective on September 8, 2025. See Note 12 for additional detail on the issuance of the Restoration Bond Company II Securitization Bonds.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 and Subsequent Storm Events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2024 and early 2025, Houston Electric’s service territory was damaged as a result of Hurricane Beryl and certain other significant storms. Houston Electric is deferring the related system restoration costs as management believes it is probable that such costs will be recovered through the regulatory process. Houston Electric is seeking to recover the system restoration costs (or a portion thereof) through the issuance and sale of non-recourse securitization bonds for distribution-related costs. However, there can be no assurance that the system restoration costs will be recovered in the amounts expected or on the expected timeline.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May 2, 2025, Houston Electric filed an Application for Determination of System Restoration Costs with the PUCT to determine the reasonableness and necessity of approximately</w:t>
      </w:r>
    </w:p>
    <w:p>
      <w:pPr>
        <w:spacing w:after="0" w:line="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$1.3 billion of costs (including estimated case processing expenses and carrying costs) incurred or expected to be incurred to restore service following Hurricane Beryl and certain other significant storms. Intervenors and PUCT staff subsequently filed direct testimony, and intervenor and PUCT staff disallowance positions totaled about $298.8 million and $4.7 million, respectively. Houston Electric subsequently filed rebuttal testimony. On August 14, 2025, Houston Electric filed a settlement agreement with the PUCT, under which Houston Electric would be entitled to recover a total of $1.1 billion in distribution-related costs, along with carrying costs from the date those costs were incurred until the system restoration bonds are issued. The settlement agreement also provided for the recovery of $13 million in transmission-related costs that will be eligible for recovery through existing mechanisms established to recover transmission costs. Additionally, the settlement agreement provided that Houston Electric would defer $78 million of its distribution-related costs to a regulatory asset and could request recovery and, if eligible, securitization of the deferral in a future rate case. Houston Electric further agreed as part of the settlement agreement to an overall $22 million reduction in distribution-related costs, which is comprised of shareholder equity carrying costs, and a $440,000 reduction in transmission-related costs, which is also comprised of shareholder equity carrying costs. On October 2, 2025, the PUCT voted to approve the settlement agreement with a modification to remove municipal legal fees and consulting and non-consulting fees from the securitization amount and defer such costs in a regulatory asset for recovery in a future ratemaking proceeding. On October 22, 2025, Houston Electric filed a letter to affirm the removal of $2.9 million of municipal legal fees and consulting and non-consulting fees from the securitization amount and defer these costs until a future ratemaking proceeding. A final order was issued by the PUCT on October 23, 2025.</w:t>
      </w:r>
    </w:p>
    <w:p>
      <w:pPr>
        <w:spacing w:after="0" w:line="159" w:lineRule="exact"/>
        <w:rPr>
          <w:sz w:val="20"/>
          <w:szCs w:val="20"/>
          <w:color w:val="auto"/>
        </w:rPr>
      </w:pPr>
    </w:p>
    <w:p>
      <w:pPr>
        <w:ind w:right="120" w:firstLine="255"/>
        <w:spacing w:after="0" w:line="239" w:lineRule="auto"/>
        <w:rPr>
          <w:sz w:val="20"/>
          <w:szCs w:val="20"/>
          <w:color w:val="auto"/>
        </w:rPr>
      </w:pPr>
      <w:r>
        <w:rPr>
          <w:rFonts w:ascii="Times New Roman" w:cs="Times New Roman" w:eastAsia="Times New Roman" w:hAnsi="Times New Roman"/>
          <w:sz w:val="14"/>
          <w:szCs w:val="14"/>
          <w:color w:val="auto"/>
        </w:rPr>
        <w:t>On June 20, 2025, Houston Electric filed a request for a Financing Order for the distribution-related costs included in the May 2, 2025 Application for Determination of System Restoration Costs. On August 19, 2025, Houston Electric filed a settlement agreement with the PUCT, under which Houston Electric would be entitled to securitize the approved distribution-related costs. The settlement agreement also reduced the requested upfront qualified costs for printing materials by $25,000 and legal expenses by $125,000. The PUCT issued an irrevocable Financing Order on October 23, 2025, which became final and non-appealable on November 7, 2025. In connection with the securitization of the system restoration costs approved in the Financing Order, Houston Electric and Restoration Bond Company III filed a registration statement, as amended on January 27, 2026, on Form SF-1 under the Securities Act with the SEC registering the public offering and sale of up to approximately $1.193 billion aggregate principal amount of Series 2026-A Senior Secured System Restoration Bonds. The registration statement became effective on January 30, 2026. Houston Electric anticipates receiving the net proceeds from the sale of the Series 2026-A Senior Secured System Restoration Bonds on February 26, 2026. See Note 20 for additional detail on the offering of the Series 2026-A Senior Secured System Restoration Bonds.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7" w:name="page148"/>
    <w:bookmarkEnd w:id="147"/>
    <w:p>
      <w:pPr>
        <w:ind w:left="260"/>
        <w:spacing w:after="0"/>
        <w:rPr>
          <w:sz w:val="20"/>
          <w:szCs w:val="20"/>
          <w:color w:val="auto"/>
        </w:rPr>
      </w:pPr>
      <w:r>
        <w:rPr>
          <w:rFonts w:ascii="Times New Roman" w:cs="Times New Roman" w:eastAsia="Times New Roman" w:hAnsi="Times New Roman"/>
          <w:sz w:val="14"/>
          <w:szCs w:val="14"/>
          <w:color w:val="auto"/>
        </w:rPr>
        <w:t>See Note 14(c) for further information regarding litigation related to Hurricane Beryl.</w:t>
      </w:r>
    </w:p>
    <w:p>
      <w:pPr>
        <w:spacing w:after="0" w:line="198" w:lineRule="exact"/>
        <w:rPr>
          <w:sz w:val="20"/>
          <w:szCs w:val="20"/>
          <w:color w:val="auto"/>
        </w:rPr>
      </w:pPr>
    </w:p>
    <w:p>
      <w:pPr>
        <w:ind w:left="200" w:hanging="195"/>
        <w:spacing w:after="0"/>
        <w:tabs>
          <w:tab w:leader="none" w:pos="20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Incentive Compensation Plans and Employee Benefit Plans</w:t>
      </w:r>
    </w:p>
    <w:p>
      <w:pPr>
        <w:spacing w:after="0" w:line="199" w:lineRule="exact"/>
        <w:rPr>
          <w:rFonts w:ascii="Times New Roman" w:cs="Times New Roman" w:eastAsia="Times New Roman" w:hAnsi="Times New Roman"/>
          <w:sz w:val="14"/>
          <w:szCs w:val="14"/>
          <w:b w:val="1"/>
          <w:bCs w:val="1"/>
          <w:color w:val="auto"/>
        </w:rPr>
      </w:pPr>
    </w:p>
    <w:p>
      <w:pPr>
        <w:ind w:left="460" w:hanging="200"/>
        <w:spacing w:after="0"/>
        <w:tabs>
          <w:tab w:leader="none" w:pos="460" w:val="left"/>
        </w:tabs>
        <w:numPr>
          <w:ilvl w:val="1"/>
          <w:numId w:val="6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Stock-Based Incentive Compensation Plans (CenterPoint Energy)</w:t>
      </w:r>
    </w:p>
    <w:p>
      <w:pPr>
        <w:spacing w:after="0" w:line="202"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has LTIPs that provide for the issuance of stock-based incentives, including stock options, performance awards, restricted stock unit awards and restricted and unrestricted stock awards to officers, employees and non-employee directors. Approximately 34 million shares of Common Stock are authorized under these plans for awards as of December 31, 2025. CenterPoint Energy issues new shares of its Common Stock to satisfy stock-based payments related to LTIPs. Equity awards are granted to employees without cost to the participants.</w:t>
      </w:r>
    </w:p>
    <w:p>
      <w:pPr>
        <w:spacing w:after="0" w:line="15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Compensation costs for the performance awards and stock unit awards granted under LTIPs are measured using fair value and expected achievement levels on the grant date. For performance awards with operational goals, the achievement levels are revised as goals are evaluated. The fair value of awards granted to employees is based on the closing stock price of CenterPoint Energy’s Common Stock on the grant date. The compensation expense is recorded on a straight-line basis over the vesting period. Forfeitures are estimated on the date of grant based on historical averages and estimates are updated periodically throughout the vesting period.</w:t>
      </w:r>
    </w:p>
    <w:p>
      <w:pPr>
        <w:spacing w:after="0" w:line="140" w:lineRule="exact"/>
        <w:rPr>
          <w:sz w:val="20"/>
          <w:szCs w:val="20"/>
          <w:color w:val="auto"/>
        </w:rPr>
      </w:pPr>
    </w:p>
    <w:p>
      <w:pPr>
        <w:jc w:val="both"/>
        <w:ind w:right="20" w:firstLine="255"/>
        <w:spacing w:after="0" w:line="264" w:lineRule="auto"/>
        <w:rPr>
          <w:sz w:val="20"/>
          <w:szCs w:val="20"/>
          <w:color w:val="auto"/>
        </w:rPr>
      </w:pPr>
      <w:r>
        <w:rPr>
          <w:rFonts w:ascii="Times New Roman" w:cs="Times New Roman" w:eastAsia="Times New Roman" w:hAnsi="Times New Roman"/>
          <w:sz w:val="14"/>
          <w:szCs w:val="14"/>
          <w:color w:val="auto"/>
        </w:rPr>
        <w:t>The performance awards granted in 2025, 2024 and 2023 are distributed based upon the achievement of certain performance conditions or market conditions over a three-year performance cycle. The performance conditions are based on CenterPoint Energy’s cumulative adjusted EPS and, for performance awards granted in 2024 and 2023, certain carbon emissions reduction goals. The market condition is based on CenterPoint Energy’s total shareholder return relative to a specified peer group. Upon vesting, shares under the performance awards, as determined based on achievement of the applicable performance goals, are issued to the participants along with the value of dividend equivalents earned over the performance cycle.</w:t>
      </w:r>
    </w:p>
    <w:p>
      <w:pPr>
        <w:spacing w:after="0" w:line="162"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The stock unit awards granted in 2025, 2024 and 2023 are service-based and subject to CenterPoint Energy’s achievement of positive operating income for the last full calendar year preceding the applicable vesting date. Stock units awards granted in 2025 and 2024 vest under a three-year ratable vesting schedule, with one-third vesting as of each of the first three anniversaries of the grant date. Stock unit awards granted in 2023 cliff vest at the end of a three-year period. Each vesting under either the three-year ratable or cliff vesting schedule is subject to the achievement of the performance goal. Upon vesting, shares under the stock unit awards are issued to the participants along with the value of dividend equivalents earned over the applicable vesting period. Non-employee directors are granted stock awards that are vested immediately upon grant.</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CenterPoint Energy’s expenses related to LTIPs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LTIP compensation expense (1)</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34</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benefit recognized</w:t>
            </w:r>
          </w:p>
        </w:tc>
        <w:tc>
          <w:tcPr>
            <w:tcW w:w="104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w:t>
            </w:r>
          </w:p>
        </w:tc>
        <w:tc>
          <w:tcPr>
            <w:tcW w:w="300" w:type="dxa"/>
            <w:vAlign w:val="bottom"/>
          </w:tcPr>
          <w:p>
            <w:pPr>
              <w:spacing w:after="0"/>
              <w:rPr>
                <w:sz w:val="14"/>
                <w:szCs w:val="1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Actual tax benefit realized for tax deductions</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19</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bl>
    <w:p>
      <w:pPr>
        <w:spacing w:after="0" w:line="49" w:lineRule="exact"/>
        <w:rPr>
          <w:sz w:val="20"/>
          <w:szCs w:val="20"/>
          <w:color w:val="auto"/>
        </w:rPr>
      </w:pPr>
    </w:p>
    <w:p>
      <w:pPr>
        <w:ind w:left="500" w:hanging="240"/>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CenterPoint Energy’s Statements of Consolidated Income, net of any amounts capitalized.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8" w:name="page149"/>
    <w:bookmarkEnd w:id="148"/>
    <w:p>
      <w:pPr>
        <w:ind w:left="260"/>
        <w:spacing w:after="0"/>
        <w:rPr>
          <w:sz w:val="20"/>
          <w:szCs w:val="20"/>
          <w:color w:val="auto"/>
        </w:rPr>
      </w:pPr>
      <w:r>
        <w:rPr>
          <w:rFonts w:ascii="Times New Roman" w:cs="Times New Roman" w:eastAsia="Times New Roman" w:hAnsi="Times New Roman"/>
          <w:sz w:val="14"/>
          <w:szCs w:val="14"/>
          <w:color w:val="auto"/>
        </w:rPr>
        <w:t>The following tables summarize CenterPoint Energy’s LTIP activity for the year ended December 31,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Remaining Average</w:t>
            </w:r>
          </w:p>
        </w:tc>
        <w:tc>
          <w:tcPr>
            <w:tcW w:w="80" w:type="dxa"/>
            <w:vAlign w:val="bottom"/>
          </w:tcPr>
          <w:p>
            <w:pPr>
              <w:spacing w:after="0"/>
              <w:rPr>
                <w:sz w:val="12"/>
                <w:szCs w:val="12"/>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14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80" w:type="dxa"/>
            <w:vAlign w:val="bottom"/>
          </w:tcPr>
          <w:p>
            <w:pPr>
              <w:spacing w:after="0"/>
              <w:rPr>
                <w:sz w:val="11"/>
                <w:szCs w:val="11"/>
                <w:color w:val="auto"/>
              </w:rPr>
            </w:pPr>
          </w:p>
        </w:tc>
        <w:tc>
          <w:tcPr>
            <w:tcW w:w="114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Life (Years)</w:t>
            </w:r>
          </w:p>
        </w:tc>
        <w:tc>
          <w:tcPr>
            <w:tcW w:w="80" w:type="dxa"/>
            <w:vAlign w:val="bottom"/>
          </w:tcPr>
          <w:p>
            <w:pPr>
              <w:spacing w:after="0"/>
              <w:rPr>
                <w:sz w:val="14"/>
                <w:szCs w:val="14"/>
                <w:color w:val="auto"/>
              </w:rPr>
            </w:pP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Value (2) (Millions)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40" w:type="dxa"/>
            <w:vAlign w:val="bottom"/>
            <w:gridSpan w:val="3"/>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Performance Awards (1)</w:t>
            </w: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and nonvested as of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 or canceled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9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Vested and released to participants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26.91</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5940" w:type="dxa"/>
            <w:vAlign w:val="bottom"/>
            <w:tcBorders>
              <w:bottom w:val="single" w:sz="8" w:color="CCEEFF"/>
            </w:tcBorders>
            <w:gridSpan w:val="3"/>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Outstanding and nonvested as of December 31, 2025</w:t>
            </w:r>
          </w:p>
        </w:tc>
        <w:tc>
          <w:tcPr>
            <w:tcW w:w="12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4,621</w:t>
            </w:r>
          </w:p>
        </w:tc>
        <w:tc>
          <w:tcPr>
            <w:tcW w:w="200" w:type="dxa"/>
            <w:vAlign w:val="bottom"/>
            <w:tcBorders>
              <w:bottom w:val="single" w:sz="8" w:color="CCEEFF"/>
            </w:tcBorders>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30.06</w:t>
            </w: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40" w:type="dxa"/>
            <w:vAlign w:val="bottom"/>
            <w:tcBorders>
              <w:top w:val="single" w:sz="8" w:color="CCEEFF"/>
              <w:bottom w:val="single" w:sz="8" w:color="CCEEFF"/>
            </w:tcBorders>
            <w:gridSpan w:val="3"/>
            <w:vMerge w:val="restart"/>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Stock Unit Awards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vMerge w:val="continue"/>
          </w:tcPr>
          <w:p>
            <w:pPr>
              <w:spacing w:after="0"/>
              <w:rPr>
                <w:sz w:val="6"/>
                <w:szCs w:val="6"/>
                <w:color w:val="auto"/>
              </w:rPr>
            </w:pPr>
          </w:p>
        </w:tc>
        <w:tc>
          <w:tcPr>
            <w:tcW w:w="594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and nonvested as of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28.20</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35.40</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 or canceled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9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Vested and released to participants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28.83</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Outstanding and nonvested as of December 31,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maximum performance achievement.</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 of current expectations of achievement and stock price as of December 31, 2025.</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information related to the Performance Awards and Stock Unit Awards was as follows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40" w:type="dxa"/>
            <w:vAlign w:val="bottom"/>
            <w:gridSpan w:val="4"/>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(in millions, except for per unit amounts)</w:t>
            </w:r>
          </w:p>
        </w:tc>
        <w:tc>
          <w:tcPr>
            <w:tcW w:w="98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w w:val="95"/>
              </w:rPr>
              <w:t>Performance Awards</w:t>
            </w: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grant date fair value per unit of awards granted</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33.13</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27.92</w:t>
            </w:r>
          </w:p>
        </w:tc>
        <w:tc>
          <w:tcPr>
            <w:tcW w:w="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r>
      <w:tr>
        <w:trPr>
          <w:trHeight w:val="180"/>
        </w:trPr>
        <w:tc>
          <w:tcPr>
            <w:tcW w:w="20" w:type="dxa"/>
            <w:vAlign w:val="bottom"/>
          </w:tcPr>
          <w:p>
            <w:pPr>
              <w:spacing w:after="0"/>
              <w:rPr>
                <w:sz w:val="15"/>
                <w:szCs w:val="15"/>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intrinsic value of awards received by participants</w:t>
            </w:r>
          </w:p>
        </w:tc>
        <w:tc>
          <w:tcPr>
            <w:tcW w:w="96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38</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20" w:type="dxa"/>
            <w:vAlign w:val="bottom"/>
            <w:shd w:val="clear" w:color="auto" w:fill="CCEEFF"/>
          </w:tcPr>
          <w:p>
            <w:pPr>
              <w:spacing w:after="0"/>
              <w:rPr>
                <w:sz w:val="15"/>
                <w:szCs w:val="15"/>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grant date fair value</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38"/>
        </w:trPr>
        <w:tc>
          <w:tcPr>
            <w:tcW w:w="20" w:type="dxa"/>
            <w:vAlign w:val="bottom"/>
          </w:tcPr>
          <w:p>
            <w:pPr>
              <w:spacing w:after="0"/>
              <w:rPr>
                <w:sz w:val="11"/>
                <w:szCs w:val="11"/>
                <w:color w:val="auto"/>
              </w:rPr>
            </w:pPr>
          </w:p>
        </w:tc>
        <w:tc>
          <w:tcPr>
            <w:tcW w:w="678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Stock Unit Awards</w:t>
            </w: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grant date fair value per unit of awards granted</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35.40</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28.25</w:t>
            </w:r>
          </w:p>
        </w:tc>
        <w:tc>
          <w:tcPr>
            <w:tcW w:w="50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r>
      <w:tr>
        <w:trPr>
          <w:trHeight w:val="180"/>
        </w:trPr>
        <w:tc>
          <w:tcPr>
            <w:tcW w:w="20" w:type="dxa"/>
            <w:vAlign w:val="bottom"/>
          </w:tcPr>
          <w:p>
            <w:pPr>
              <w:spacing w:after="0"/>
              <w:rPr>
                <w:sz w:val="15"/>
                <w:szCs w:val="15"/>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intrinsic value of awards received by participants</w:t>
            </w:r>
          </w:p>
        </w:tc>
        <w:tc>
          <w:tcPr>
            <w:tcW w:w="960" w:type="dxa"/>
            <w:vAlign w:val="bottom"/>
          </w:tcPr>
          <w:p>
            <w:pPr>
              <w:spacing w:after="0"/>
              <w:rPr>
                <w:sz w:val="15"/>
                <w:szCs w:val="15"/>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20" w:type="dxa"/>
            <w:vAlign w:val="bottom"/>
            <w:shd w:val="clear" w:color="auto" w:fill="CCEEFF"/>
          </w:tcPr>
          <w:p>
            <w:pPr>
              <w:spacing w:after="0"/>
              <w:rPr>
                <w:sz w:val="15"/>
                <w:szCs w:val="15"/>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grant date fair value</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16</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229"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there was $53 million of total unrecognized compensation cost related to nonvested performance and stock unit awards which is expected to be recognized over a weighted-average period of 2.0 years.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Pension Benefits (CenterPoint Energy)</w:t>
      </w:r>
    </w:p>
    <w:p>
      <w:pPr>
        <w:spacing w:after="0" w:line="20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maintains a non-contributory qualified defined benefit pension plan covering certain eligible employees, which is closed to new participants. CenterPoint Energy also maintains three additional qualified defined benefit pension plans, two of which are closed to new participants and one of which is frozen, that cover certain eligible employees and retirees of Vectren and its subsidiaries and former subsidiaries and are primarily non-contributory. In addition to the qualified defined benefit pension plans, CenterPoint Energy maintains unfunded non-qualified benefit restoration plans which allow participants to receive the benefits to which they would have been entitled under CenterPoint Energy’s qualified pension plan except for federally mandated limits on qualified plan benefits or on the level of compensation on which qualified plan benefits may be calculated. CenterPoint Energy also maintains a frozen non-qualified supplemental retirement plan covering certain former executives of Vectren.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9" w:name="page150"/>
    <w:bookmarkEnd w:id="149"/>
    <w:p>
      <w:pPr>
        <w:ind w:left="260"/>
        <w:spacing w:after="0"/>
        <w:rPr>
          <w:sz w:val="20"/>
          <w:szCs w:val="20"/>
          <w:color w:val="auto"/>
        </w:rPr>
      </w:pPr>
      <w:r>
        <w:rPr>
          <w:rFonts w:ascii="Times New Roman" w:cs="Times New Roman" w:eastAsia="Times New Roman" w:hAnsi="Times New Roman"/>
          <w:sz w:val="14"/>
          <w:szCs w:val="14"/>
          <w:color w:val="auto"/>
        </w:rPr>
        <w:t>CenterPoint Energy’s net periodic cost includes the following components relating to pension plans, including the non-qualified benefit plans,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1020" w:type="dxa"/>
            <w:vAlign w:val="bottom"/>
          </w:tcPr>
          <w:p>
            <w:pPr>
              <w:spacing w:after="0"/>
              <w:rPr>
                <w:sz w:val="14"/>
                <w:szCs w:val="14"/>
                <w:color w:val="auto"/>
              </w:rPr>
            </w:pPr>
          </w:p>
        </w:tc>
        <w:tc>
          <w:tcPr>
            <w:tcW w:w="4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rPr>
              <w:t>76</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2"/>
              </w:rPr>
              <w:t>(80)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776"/>
              <w:spacing w:after="0"/>
              <w:rPr>
                <w:sz w:val="20"/>
                <w:szCs w:val="20"/>
                <w:color w:val="auto"/>
              </w:rPr>
            </w:pPr>
            <w:r>
              <w:rPr>
                <w:rFonts w:ascii="Times New Roman" w:cs="Times New Roman" w:eastAsia="Times New Roman" w:hAnsi="Times New Roman"/>
                <w:sz w:val="13"/>
                <w:szCs w:val="13"/>
                <w:color w:val="auto"/>
              </w:rPr>
              <w:t>(76)</w:t>
            </w:r>
          </w:p>
        </w:tc>
      </w:tr>
      <w:tr>
        <w:trPr>
          <w:trHeight w:val="16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left="11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left="896"/>
              <w:spacing w:after="0"/>
              <w:rPr>
                <w:sz w:val="20"/>
                <w:szCs w:val="20"/>
                <w:color w:val="auto"/>
              </w:rPr>
            </w:pPr>
            <w:r>
              <w:rPr>
                <w:rFonts w:ascii="Times New Roman" w:cs="Times New Roman" w:eastAsia="Times New Roman" w:hAnsi="Times New Roman"/>
                <w:sz w:val="13"/>
                <w:szCs w:val="13"/>
                <w:color w:val="auto"/>
                <w:w w:val="91"/>
              </w:rPr>
              <w:t>28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3"/>
                <w:szCs w:val="13"/>
                <w:color w:val="auto"/>
              </w:rPr>
              <w:t>28</w:t>
            </w:r>
          </w:p>
        </w:tc>
      </w:tr>
      <w:tr>
        <w:trPr>
          <w:trHeight w:val="188"/>
        </w:trPr>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periodic cost</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51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53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CenterPoint Energy’s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(expense), net in CenterPoint Energy’s Statements of Consolidated Income, net of regulatory deferrals.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 used the following assumptions to determine net periodic cost relating to pension benefits for the periods presented:</w:t>
      </w:r>
    </w:p>
    <w:p>
      <w:pPr>
        <w:spacing w:after="0" w:line="10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8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7"/>
              </w:rPr>
              <w:t>5.60 %</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7"/>
              </w:rPr>
              <w:t>4.95 %</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7"/>
              </w:rPr>
              <w:t>5.15 %</w:t>
            </w:r>
          </w:p>
        </w:tc>
      </w:tr>
      <w:tr>
        <w:trPr>
          <w:trHeight w:val="168"/>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14"/>
                <w:szCs w:val="14"/>
                <w:color w:val="auto"/>
              </w:rPr>
            </w:pPr>
          </w:p>
        </w:tc>
        <w:tc>
          <w:tcPr>
            <w:tcW w:w="15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tcPr>
          <w:p>
            <w:pPr>
              <w:spacing w:after="0"/>
              <w:rPr>
                <w:sz w:val="14"/>
                <w:szCs w:val="14"/>
                <w:color w:val="auto"/>
              </w:rPr>
            </w:pPr>
          </w:p>
        </w:tc>
        <w:tc>
          <w:tcPr>
            <w:tcW w:w="15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6.50</w:t>
            </w:r>
          </w:p>
        </w:tc>
      </w:tr>
      <w:tr>
        <w:trPr>
          <w:trHeight w:val="172"/>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Rate of increase in compensation levels</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4.99</w:t>
            </w:r>
          </w:p>
        </w:tc>
      </w:tr>
    </w:tbl>
    <w:p>
      <w:pPr>
        <w:spacing w:after="0" w:line="25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In determining net periodic benefit cost, CenterPoint Energy uses fair value, as of the beginning of the year, as its basis for determining expected return on plan assets except for two of Vectren’s qualified defined benefit pension plans which use a market related value of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0" w:name="page151"/>
    <w:bookmarkEnd w:id="150"/>
    <w:p>
      <w:pPr>
        <w:ind w:right="160" w:firstLine="255"/>
        <w:spacing w:after="0" w:line="278" w:lineRule="auto"/>
        <w:rPr>
          <w:sz w:val="20"/>
          <w:szCs w:val="20"/>
          <w:color w:val="auto"/>
        </w:rPr>
      </w:pPr>
      <w:r>
        <w:rPr>
          <w:rFonts w:ascii="Times New Roman" w:cs="Times New Roman" w:eastAsia="Times New Roman" w:hAnsi="Times New Roman"/>
          <w:sz w:val="14"/>
          <w:szCs w:val="14"/>
          <w:color w:val="auto"/>
        </w:rPr>
        <w:t>The measurement dates for plan assets and benefit obligations were December 31, 2025 and 2024. The following table summarizes changes in the benefit obligation, changes in plan assets, the amounts recognized in the Consolidated Balance Sheets as well as the key actuarial assumptions of CenterPoint Energy’s pension plans for the periods presented:</w:t>
      </w: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300" w:type="dxa"/>
            <w:vAlign w:val="bottom"/>
          </w:tcPr>
          <w:p>
            <w:pPr>
              <w:spacing w:after="0"/>
              <w:rPr>
                <w:sz w:val="13"/>
                <w:szCs w:val="13"/>
                <w:color w:val="auto"/>
              </w:rPr>
            </w:pPr>
          </w:p>
        </w:tc>
        <w:tc>
          <w:tcPr>
            <w:tcW w:w="3520" w:type="dxa"/>
            <w:vAlign w:val="bottom"/>
            <w:gridSpan w:val="4"/>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(in millions, except for actuarial assumptions)</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Benefit Obligation</w:t>
            </w: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obligation, beginning of year</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88"/>
              </w:rPr>
              <w:t>1,477</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3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5"/>
              </w:rPr>
              <w:t>1,548</w:t>
            </w:r>
          </w:p>
        </w:tc>
        <w:tc>
          <w:tcPr>
            <w:tcW w:w="0" w:type="dxa"/>
            <w:vAlign w:val="bottom"/>
          </w:tcPr>
          <w:p>
            <w:pPr>
              <w:spacing w:after="0"/>
              <w:rPr>
                <w:sz w:val="1"/>
                <w:szCs w:val="1"/>
                <w:color w:val="auto"/>
              </w:rPr>
            </w:pPr>
          </w:p>
        </w:tc>
      </w:tr>
      <w:tr>
        <w:trPr>
          <w:trHeight w:val="168"/>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Service cost</w:t>
            </w:r>
          </w:p>
        </w:tc>
        <w:tc>
          <w:tcPr>
            <w:tcW w:w="1480" w:type="dxa"/>
            <w:vAlign w:val="bottom"/>
          </w:tcPr>
          <w:p>
            <w:pPr>
              <w:spacing w:after="0"/>
              <w:rPr>
                <w:sz w:val="14"/>
                <w:szCs w:val="14"/>
                <w:color w:val="auto"/>
              </w:rPr>
            </w:pP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14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68"/>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148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Actuarial (gain) loss (1)</w:t>
            </w:r>
          </w:p>
        </w:tc>
        <w:tc>
          <w:tcPr>
            <w:tcW w:w="14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Benefit obligation, end of year</w:t>
            </w:r>
          </w:p>
        </w:tc>
        <w:tc>
          <w:tcPr>
            <w:tcW w:w="1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w w:val="88"/>
              </w:rPr>
              <w:t>1,486</w:t>
            </w: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5"/>
              </w:rPr>
              <w:t>1,477</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1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plan assets, beginning of year</w:t>
            </w:r>
          </w:p>
        </w:tc>
        <w:tc>
          <w:tcPr>
            <w:tcW w:w="1480" w:type="dxa"/>
            <w:vAlign w:val="bottom"/>
          </w:tcPr>
          <w:p>
            <w:pPr>
              <w:spacing w:after="0"/>
              <w:rPr>
                <w:sz w:val="14"/>
                <w:szCs w:val="14"/>
                <w:color w:val="auto"/>
              </w:rPr>
            </w:pP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88"/>
              </w:rPr>
              <w:t>1,132</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5"/>
              </w:rPr>
              <w:t>1,204</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Employer contributions</w:t>
            </w:r>
          </w:p>
        </w:tc>
        <w:tc>
          <w:tcPr>
            <w:tcW w:w="14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8"/>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148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Actual investment return</w:t>
            </w:r>
          </w:p>
        </w:tc>
        <w:tc>
          <w:tcPr>
            <w:tcW w:w="14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Fair value of plan assets, end of year</w:t>
            </w:r>
          </w:p>
        </w:tc>
        <w:tc>
          <w:tcPr>
            <w:tcW w:w="1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color w:val="auto"/>
                <w:w w:val="88"/>
              </w:rPr>
              <w:t>1,214</w:t>
            </w: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w w:val="95"/>
              </w:rPr>
              <w:t>1,132</w:t>
            </w:r>
          </w:p>
        </w:tc>
        <w:tc>
          <w:tcPr>
            <w:tcW w:w="0" w:type="dxa"/>
            <w:vAlign w:val="bottom"/>
          </w:tcPr>
          <w:p>
            <w:pPr>
              <w:spacing w:after="0"/>
              <w:rPr>
                <w:sz w:val="1"/>
                <w:szCs w:val="1"/>
                <w:color w:val="auto"/>
              </w:rPr>
            </w:pPr>
          </w:p>
        </w:tc>
      </w:tr>
      <w:tr>
        <w:trPr>
          <w:trHeight w:val="188"/>
        </w:trPr>
        <w:tc>
          <w:tcPr>
            <w:tcW w:w="7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Funded status, end of year</w:t>
            </w:r>
          </w:p>
        </w:tc>
        <w:tc>
          <w:tcPr>
            <w:tcW w:w="148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13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Amounts Recognized in Balance Sheets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3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3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8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obligations</w:t>
            </w:r>
          </w:p>
        </w:tc>
        <w:tc>
          <w:tcPr>
            <w:tcW w:w="14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163"/>
        </w:trPr>
        <w:tc>
          <w:tcPr>
            <w:tcW w:w="7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liability, end of year</w:t>
            </w:r>
          </w:p>
        </w:tc>
        <w:tc>
          <w:tcPr>
            <w:tcW w:w="1480" w:type="dxa"/>
            <w:vAlign w:val="bottom"/>
            <w:tcBorders>
              <w:bottom w:val="single" w:sz="8" w:color="auto"/>
            </w:tcBorders>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ind w:right="13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Actuarial Assumptions</w:t>
            </w: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 (2)</w:t>
            </w:r>
          </w:p>
        </w:tc>
        <w:tc>
          <w:tcPr>
            <w:tcW w:w="14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(3)</w:t>
            </w:r>
          </w:p>
        </w:tc>
        <w:tc>
          <w:tcPr>
            <w:tcW w:w="1480" w:type="dxa"/>
            <w:vAlign w:val="bottom"/>
          </w:tcPr>
          <w:p>
            <w:pPr>
              <w:spacing w:after="0"/>
              <w:rPr>
                <w:sz w:val="15"/>
                <w:szCs w:val="15"/>
                <w:color w:val="auto"/>
              </w:rPr>
            </w:pP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Rate of increase in compensation levels</w:t>
            </w:r>
          </w:p>
        </w:tc>
        <w:tc>
          <w:tcPr>
            <w:tcW w:w="14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crediting rate</w:t>
            </w:r>
          </w:p>
        </w:tc>
        <w:tc>
          <w:tcPr>
            <w:tcW w:w="1480" w:type="dxa"/>
            <w:vAlign w:val="bottom"/>
          </w:tcPr>
          <w:p>
            <w:pPr>
              <w:spacing w:after="0"/>
              <w:rPr>
                <w:sz w:val="16"/>
                <w:szCs w:val="16"/>
                <w:color w:val="auto"/>
              </w:rPr>
            </w:pP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20" w:right="20" w:hanging="260"/>
        <w:spacing w:after="0" w:line="263" w:lineRule="auto"/>
        <w:tabs>
          <w:tab w:leader="none" w:pos="51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sources of actuarial loss for 2025 include the decrease in discount rate from 5.60% to 5.35%, partially offset by gains due to actual return on plan assets exceeding expected return on plan assets.</w:t>
      </w:r>
    </w:p>
    <w:p>
      <w:pPr>
        <w:ind w:left="520" w:right="540" w:hanging="260"/>
        <w:spacing w:after="0" w:line="253" w:lineRule="auto"/>
        <w:tabs>
          <w:tab w:leader="none" w:pos="51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assumption was determined by matching the projected cash flows of CenterPoint Energy’s plans against a hypothetical yield curve of high-quality corporate bonds represented by a series of annualized individual discount rates from one-half to 99 years.</w:t>
      </w:r>
    </w:p>
    <w:p>
      <w:pPr>
        <w:ind w:left="500" w:hanging="240"/>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rate of return assumption was developed using the targeted asset allocation of CenterPoint Energy’s plans and the expected return for each asset class.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displays pension benefits related to CenterPoint Energy’s pension plans that have accumulated benefit obligations in excess of plan assets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20"/>
        </w:trPr>
        <w:tc>
          <w:tcPr>
            <w:tcW w:w="5240" w:type="dxa"/>
            <w:vAlign w:val="bottom"/>
          </w:tcPr>
          <w:p>
            <w:pPr>
              <w:spacing w:after="0"/>
              <w:rPr>
                <w:sz w:val="10"/>
                <w:szCs w:val="10"/>
                <w:color w:val="auto"/>
              </w:rPr>
            </w:pPr>
          </w:p>
        </w:tc>
        <w:tc>
          <w:tcPr>
            <w:tcW w:w="1060" w:type="dxa"/>
            <w:vAlign w:val="bottom"/>
          </w:tcPr>
          <w:p>
            <w:pPr>
              <w:jc w:val="center"/>
              <w:ind w:left="336"/>
              <w:spacing w:after="0" w:line="120" w:lineRule="exact"/>
              <w:rPr>
                <w:sz w:val="20"/>
                <w:szCs w:val="20"/>
                <w:color w:val="auto"/>
              </w:rPr>
            </w:pPr>
            <w:r>
              <w:rPr>
                <w:rFonts w:ascii="Times New Roman" w:cs="Times New Roman" w:eastAsia="Times New Roman" w:hAnsi="Times New Roman"/>
                <w:sz w:val="13"/>
                <w:szCs w:val="13"/>
                <w:b w:val="1"/>
                <w:bCs w:val="1"/>
                <w:color w:val="auto"/>
                <w:w w:val="96"/>
              </w:rPr>
              <w:t>Pension</w:t>
            </w:r>
          </w:p>
        </w:tc>
        <w:tc>
          <w:tcPr>
            <w:tcW w:w="400" w:type="dxa"/>
            <w:vAlign w:val="bottom"/>
          </w:tcPr>
          <w:p>
            <w:pPr>
              <w:spacing w:after="0"/>
              <w:rPr>
                <w:sz w:val="10"/>
                <w:szCs w:val="10"/>
                <w:color w:val="auto"/>
              </w:rPr>
            </w:pPr>
          </w:p>
        </w:tc>
        <w:tc>
          <w:tcPr>
            <w:tcW w:w="122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6"/>
              </w:rPr>
              <w:t>Pension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ind w:right="456"/>
              <w:spacing w:after="0" w:line="120" w:lineRule="exact"/>
              <w:rPr>
                <w:sz w:val="20"/>
                <w:szCs w:val="20"/>
                <w:color w:val="auto"/>
              </w:rPr>
            </w:pPr>
            <w:r>
              <w:rPr>
                <w:rFonts w:ascii="Times New Roman" w:cs="Times New Roman" w:eastAsia="Times New Roman" w:hAnsi="Times New Roman"/>
                <w:sz w:val="13"/>
                <w:szCs w:val="13"/>
                <w:b w:val="1"/>
                <w:bCs w:val="1"/>
                <w:color w:val="auto"/>
              </w:rPr>
              <w:t>Pension</w:t>
            </w:r>
          </w:p>
        </w:tc>
        <w:tc>
          <w:tcPr>
            <w:tcW w:w="260" w:type="dxa"/>
            <w:vAlign w:val="bottom"/>
          </w:tcPr>
          <w:p>
            <w:pPr>
              <w:spacing w:after="0"/>
              <w:rPr>
                <w:sz w:val="10"/>
                <w:szCs w:val="10"/>
                <w:color w:val="auto"/>
              </w:rPr>
            </w:pPr>
          </w:p>
        </w:tc>
        <w:tc>
          <w:tcPr>
            <w:tcW w:w="1240" w:type="dxa"/>
            <w:vAlign w:val="bottom"/>
          </w:tcPr>
          <w:p>
            <w:pPr>
              <w:jc w:val="right"/>
              <w:ind w:right="436"/>
              <w:spacing w:after="0" w:line="120" w:lineRule="exact"/>
              <w:rPr>
                <w:sz w:val="20"/>
                <w:szCs w:val="20"/>
                <w:color w:val="auto"/>
              </w:rPr>
            </w:pPr>
            <w:r>
              <w:rPr>
                <w:rFonts w:ascii="Times New Roman" w:cs="Times New Roman" w:eastAsia="Times New Roman" w:hAnsi="Times New Roman"/>
                <w:sz w:val="13"/>
                <w:szCs w:val="13"/>
                <w:b w:val="1"/>
                <w:bCs w:val="1"/>
                <w:color w:val="auto"/>
              </w:rPr>
              <w:t>Pension</w:t>
            </w:r>
          </w:p>
        </w:tc>
      </w:tr>
      <w:tr>
        <w:trPr>
          <w:trHeight w:val="169"/>
        </w:trPr>
        <w:tc>
          <w:tcPr>
            <w:tcW w:w="5240" w:type="dxa"/>
            <w:vAlign w:val="bottom"/>
          </w:tcPr>
          <w:p>
            <w:pPr>
              <w:spacing w:after="0"/>
              <w:rPr>
                <w:sz w:val="14"/>
                <w:szCs w:val="14"/>
                <w:color w:val="auto"/>
              </w:rPr>
            </w:pPr>
          </w:p>
        </w:tc>
        <w:tc>
          <w:tcPr>
            <w:tcW w:w="106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8"/>
              </w:rPr>
              <w:t>(Qualified)</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6"/>
              </w:rPr>
              <w:t>(Non-qualified)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(Qualified)</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(Non-qualified)</w:t>
            </w:r>
          </w:p>
        </w:tc>
      </w:tr>
      <w:tr>
        <w:trPr>
          <w:trHeight w:val="160"/>
        </w:trPr>
        <w:tc>
          <w:tcPr>
            <w:tcW w:w="5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benefit obligation</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1,443</w:t>
            </w:r>
          </w:p>
        </w:tc>
        <w:tc>
          <w:tcPr>
            <w:tcW w:w="122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1,431</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Projected benefit obligation</w:t>
            </w:r>
          </w:p>
        </w:tc>
        <w:tc>
          <w:tcPr>
            <w:tcW w:w="106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1,445</w:t>
            </w:r>
          </w:p>
        </w:tc>
        <w:tc>
          <w:tcPr>
            <w:tcW w:w="12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1,433</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1,214</w:t>
            </w:r>
          </w:p>
        </w:tc>
        <w:tc>
          <w:tcPr>
            <w:tcW w:w="1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1,132</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5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for all defined benefit pension plans on CenterPoint Energy’s Consolidated Balance Sheets was $1,484 million and $1,475 million as of December 31, 2025 and 2024,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1" w:name="page152"/>
    <w:bookmarkEnd w:id="151"/>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Postretirement Benefits</w:t>
      </w:r>
    </w:p>
    <w:p>
      <w:pPr>
        <w:spacing w:after="0" w:line="202"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provides certain healthcare and life insurance benefits for certain eligible retired employees on both a contributory and non-contributory basis. CenterPoint Energy, through Vectren, also maintains a postretirement benefit plan that provides health care and life insurance benefits, which are a combination of self-insured and fully insured programs, to eligible Vectren retirees of Vectren and its subsidiaries and former subsidiaries on both a contributory and non-contributory basis.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Postretirement benefits are accrued over the active service period of employees. The net postretirement benefit cost includes the following components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40" w:type="dxa"/>
            <w:vAlign w:val="bottom"/>
          </w:tcPr>
          <w:p>
            <w:pPr>
              <w:spacing w:after="0"/>
              <w:rPr>
                <w:sz w:val="8"/>
                <w:szCs w:val="8"/>
                <w:color w:val="auto"/>
              </w:rPr>
            </w:pPr>
          </w:p>
        </w:tc>
        <w:tc>
          <w:tcPr>
            <w:tcW w:w="80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8"/>
                <w:szCs w:val="8"/>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6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8"/>
                <w:szCs w:val="8"/>
                <w:color w:val="auto"/>
              </w:rPr>
            </w:pPr>
          </w:p>
        </w:tc>
        <w:tc>
          <w:tcPr>
            <w:tcW w:w="8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8"/>
                <w:szCs w:val="8"/>
                <w:color w:val="auto"/>
              </w:rPr>
            </w:pPr>
          </w:p>
        </w:tc>
        <w:tc>
          <w:tcPr>
            <w:tcW w:w="68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Electric</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Service cost (1)</w:t>
            </w:r>
          </w:p>
        </w:tc>
        <w:tc>
          <w:tcPr>
            <w:tcW w:w="46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cost (2)</w:t>
            </w:r>
          </w:p>
        </w:tc>
        <w:tc>
          <w:tcPr>
            <w:tcW w:w="4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6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Expected return on plan assets (2)</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prior service cost (credit) (2)</w:t>
            </w:r>
          </w:p>
        </w:tc>
        <w:tc>
          <w:tcPr>
            <w:tcW w:w="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net gain (2)</w:t>
            </w:r>
          </w:p>
        </w:tc>
        <w:tc>
          <w:tcPr>
            <w:tcW w:w="4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0"/>
        </w:trPr>
        <w:tc>
          <w:tcPr>
            <w:tcW w:w="2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postretirement benefit cost (credit)</w:t>
            </w:r>
          </w:p>
        </w:tc>
        <w:tc>
          <w:tcPr>
            <w:tcW w:w="4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each of the Registrants’ respective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(expense), net in each of the Registrants’ respective Statements of Consolidated Income, net of regulatory deferrals.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assumptions were used to determine net periodic cost relating to postretirement benefits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2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0"/>
        </w:trPr>
        <w:tc>
          <w:tcPr>
            <w:tcW w:w="210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4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5"/>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5.60 %</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5.60 %</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5.60 %</w:t>
            </w: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4.95 %</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4.95 %</w:t>
            </w: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4.95 %</w:t>
            </w: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5.15 %</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5.15 %</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5.15 %</w:t>
            </w:r>
          </w:p>
        </w:tc>
      </w:tr>
      <w:tr>
        <w:trPr>
          <w:trHeight w:val="147"/>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Expected return on plan assets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5.78 %</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5.93 %</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5.35 %</w:t>
            </w:r>
          </w:p>
        </w:tc>
        <w:tc>
          <w:tcPr>
            <w:tcW w:w="100" w:type="dxa"/>
            <w:vAlign w:val="bottom"/>
          </w:tcPr>
          <w:p>
            <w:pPr>
              <w:spacing w:after="0"/>
              <w:rPr>
                <w:sz w:val="12"/>
                <w:szCs w:val="12"/>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5.21</w:t>
            </w:r>
          </w:p>
        </w:tc>
        <w:tc>
          <w:tcPr>
            <w:tcW w:w="80" w:type="dxa"/>
            <w:vAlign w:val="bottom"/>
          </w:tcPr>
          <w:p>
            <w:pPr>
              <w:spacing w:after="0"/>
              <w:rPr>
                <w:sz w:val="12"/>
                <w:szCs w:val="12"/>
                <w:color w:val="auto"/>
              </w:rPr>
            </w:pPr>
          </w:p>
        </w:tc>
        <w:tc>
          <w:tcPr>
            <w:tcW w:w="9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5.36</w:t>
            </w:r>
          </w:p>
        </w:tc>
        <w:tc>
          <w:tcPr>
            <w:tcW w:w="80" w:type="dxa"/>
            <w:vAlign w:val="bottom"/>
          </w:tcPr>
          <w:p>
            <w:pPr>
              <w:spacing w:after="0"/>
              <w:rPr>
                <w:sz w:val="12"/>
                <w:szCs w:val="12"/>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4.77</w:t>
            </w:r>
          </w:p>
        </w:tc>
        <w:tc>
          <w:tcPr>
            <w:tcW w:w="80" w:type="dxa"/>
            <w:vAlign w:val="bottom"/>
          </w:tcPr>
          <w:p>
            <w:pPr>
              <w:spacing w:after="0"/>
              <w:rPr>
                <w:sz w:val="12"/>
                <w:szCs w:val="12"/>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tcPr>
          <w:p>
            <w:pPr>
              <w:spacing w:after="0"/>
              <w:rPr>
                <w:sz w:val="12"/>
                <w:szCs w:val="12"/>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5.26</w:t>
            </w:r>
          </w:p>
        </w:tc>
        <w:tc>
          <w:tcPr>
            <w:tcW w:w="100" w:type="dxa"/>
            <w:vAlign w:val="bottom"/>
          </w:tcPr>
          <w:p>
            <w:pPr>
              <w:spacing w:after="0"/>
              <w:rPr>
                <w:sz w:val="12"/>
                <w:szCs w:val="12"/>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4.69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52" w:name="page153"/>
    <w:bookmarkEnd w:id="152"/>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measurement dates for plan assets and benefit obligations were December 31, 2025 and 2024. The following table summarizes changes in the benefit obligation, changes in plan assets, the amounts recognized in the Consolidated Balance Sheets and the key actuarial assumptions of the postretirement plans for the periods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6"/>
              </w:rPr>
              <w:t>CenterPoint Energy</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4"/>
              </w:rPr>
              <w:t>CenterPoint Energy</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(in millions, except for actuarial assumptions)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Benefit Obligation</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obligation,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Service cost</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Participant contributions</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Plan amendment</w:t>
            </w:r>
          </w:p>
        </w:tc>
        <w:tc>
          <w:tcPr>
            <w:tcW w:w="80" w:type="dxa"/>
            <w:vAlign w:val="bottom"/>
          </w:tcPr>
          <w:p>
            <w:pPr>
              <w:spacing w:after="0"/>
              <w:rPr>
                <w:sz w:val="14"/>
                <w:szCs w:val="14"/>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Actuarial (gain) loss (1)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transfers</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obligation, end of year</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5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plan assets, beginning of year</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Employer contributions</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Participant contributions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80" w:type="dxa"/>
            <w:vAlign w:val="bottom"/>
          </w:tcPr>
          <w:p>
            <w:pPr>
              <w:spacing w:after="0"/>
              <w:rPr>
                <w:sz w:val="14"/>
                <w:szCs w:val="14"/>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Actual investment return</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transfers</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plan assets, end of year</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0"/>
        </w:trPr>
        <w:tc>
          <w:tcPr>
            <w:tcW w:w="38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Funded status, end of year</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Amounts Recognized in Balance Sheets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Benefit obligations</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liability, end of year</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Actuarial Assumptions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 (2)</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5.60 %</w:t>
            </w: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(3)</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Medical cost trend rate assumed for the next year - Pre-65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6.75</w:t>
            </w:r>
          </w:p>
        </w:tc>
        <w:tc>
          <w:tcPr>
            <w:tcW w:w="0" w:type="dxa"/>
            <w:vAlign w:val="bottom"/>
          </w:tcPr>
          <w:p>
            <w:pPr>
              <w:spacing w:after="0"/>
              <w:rPr>
                <w:sz w:val="1"/>
                <w:szCs w:val="1"/>
                <w:color w:val="auto"/>
              </w:rPr>
            </w:pPr>
          </w:p>
        </w:tc>
      </w:tr>
      <w:tr>
        <w:trPr>
          <w:trHeight w:val="127"/>
        </w:trPr>
        <w:tc>
          <w:tcPr>
            <w:tcW w:w="38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Medical/prescription drug cost trend rate assumed for the next year - Post-</w:t>
            </w: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8.36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8.36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8.36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13.74</w:t>
            </w: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Prescription drug cost trend rate assumed for the next year - Pre-65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27"/>
        </w:trPr>
        <w:tc>
          <w:tcPr>
            <w:tcW w:w="38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Rate to which the cost trend rate is assumed to decline (the ultimate trend</w:t>
            </w: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rate)</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Year that the cost trend rates reach the ultimate trend rate - Pre-65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0" w:type="dxa"/>
            <w:vAlign w:val="bottom"/>
          </w:tcPr>
          <w:p>
            <w:pPr>
              <w:spacing w:after="0"/>
              <w:rPr>
                <w:sz w:val="1"/>
                <w:szCs w:val="1"/>
                <w:color w:val="auto"/>
              </w:rPr>
            </w:pPr>
          </w:p>
        </w:tc>
      </w:tr>
      <w:tr>
        <w:trPr>
          <w:trHeight w:val="165"/>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that the cost trend rates reach the ultimate trend rate - Post-65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00" w:hanging="240"/>
        <w:spacing w:after="0"/>
        <w:tabs>
          <w:tab w:leader="none" w:pos="5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sources of actuarial loss for 2025 include the decrease in discount rate from 5.60% to 5.35%, updated claims and demographic review.</w:t>
      </w:r>
    </w:p>
    <w:p>
      <w:pPr>
        <w:spacing w:after="0" w:line="23" w:lineRule="exact"/>
        <w:rPr>
          <w:rFonts w:ascii="Times New Roman" w:cs="Times New Roman" w:eastAsia="Times New Roman" w:hAnsi="Times New Roman"/>
          <w:sz w:val="14"/>
          <w:szCs w:val="14"/>
          <w:color w:val="auto"/>
        </w:rPr>
      </w:pPr>
    </w:p>
    <w:p>
      <w:pPr>
        <w:ind w:left="520" w:right="100" w:hanging="260"/>
        <w:spacing w:after="0" w:line="253" w:lineRule="auto"/>
        <w:tabs>
          <w:tab w:leader="none" w:pos="51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assumption was determined by matching the projected cash flows of the plans against a hypothetical yield curve of high-quality corporate bonds represented by a series of annualized individual discount rates from one-half to 99 years.</w:t>
      </w:r>
    </w:p>
    <w:p>
      <w:pPr>
        <w:ind w:left="500" w:hanging="240"/>
        <w:spacing w:after="0"/>
        <w:tabs>
          <w:tab w:leader="none" w:pos="5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rate of return assumption was developed using the targeted asset allocation of the plans and the expected return for each asset class.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153" w:name="page154"/>
    <w:bookmarkEnd w:id="153"/>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 Accumulated Other Comprehensive Income (Loss) (CenterPoint Energy and CERC)</w:t>
      </w:r>
    </w:p>
    <w:p>
      <w:pPr>
        <w:spacing w:after="0" w:line="202"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recognizes the funded status of its pension and other postretirement plans on its Consolidated Balance Sheets. To the extent this obligation exceeds amounts previously recognized in the Statements of Consolidated Income, CenterPoint Energy records a regulatory asset for that portion related to its rate-regulated utilities. To the extent that excess liability does not relate to a rate-regulated utility, the offset is recorded as a reduction to equity in accumulated other comprehensive income.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Amounts recognized in accumulated other comprehensive loss (income) consist of the following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right"/>
              <w:ind w:right="296"/>
              <w:spacing w:after="0" w:line="120" w:lineRule="exact"/>
              <w:rPr>
                <w:sz w:val="20"/>
                <w:szCs w:val="20"/>
                <w:color w:val="auto"/>
              </w:rPr>
            </w:pPr>
            <w:r>
              <w:rPr>
                <w:rFonts w:ascii="Times New Roman" w:cs="Times New Roman" w:eastAsia="Times New Roman" w:hAnsi="Times New Roman"/>
                <w:sz w:val="13"/>
                <w:szCs w:val="13"/>
                <w:b w:val="1"/>
                <w:bCs w:val="1"/>
                <w:color w:val="auto"/>
              </w:rPr>
              <w:t>Pension</w:t>
            </w:r>
          </w:p>
        </w:tc>
        <w:tc>
          <w:tcPr>
            <w:tcW w:w="440" w:type="dxa"/>
            <w:vAlign w:val="bottom"/>
          </w:tcPr>
          <w:p>
            <w:pPr>
              <w:spacing w:after="0"/>
              <w:rPr>
                <w:sz w:val="10"/>
                <w:szCs w:val="10"/>
                <w:color w:val="auto"/>
              </w:rPr>
            </w:pPr>
          </w:p>
        </w:tc>
        <w:tc>
          <w:tcPr>
            <w:tcW w:w="1640" w:type="dxa"/>
            <w:vAlign w:val="bottom"/>
            <w:gridSpan w:val="3"/>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Pension</w:t>
            </w:r>
          </w:p>
        </w:tc>
        <w:tc>
          <w:tcPr>
            <w:tcW w:w="420" w:type="dxa"/>
            <w:vAlign w:val="bottom"/>
          </w:tcPr>
          <w:p>
            <w:pPr>
              <w:spacing w:after="0"/>
              <w:rPr>
                <w:sz w:val="10"/>
                <w:szCs w:val="10"/>
                <w:color w:val="auto"/>
              </w:rPr>
            </w:pPr>
          </w:p>
        </w:tc>
        <w:tc>
          <w:tcPr>
            <w:tcW w:w="1180" w:type="dxa"/>
            <w:vAlign w:val="bottom"/>
            <w:gridSpan w:val="3"/>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w w:val="98"/>
              </w:rPr>
              <w:t>Postretirement</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40" w:type="dxa"/>
            <w:vAlign w:val="bottom"/>
          </w:tcPr>
          <w:p>
            <w:pPr>
              <w:spacing w:after="0"/>
              <w:rPr>
                <w:sz w:val="14"/>
                <w:szCs w:val="14"/>
                <w:color w:val="auto"/>
              </w:rPr>
            </w:pPr>
          </w:p>
        </w:tc>
        <w:tc>
          <w:tcPr>
            <w:tcW w:w="164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20" w:type="dxa"/>
            <w:vAlign w:val="bottom"/>
          </w:tcPr>
          <w:p>
            <w:pPr>
              <w:spacing w:after="0"/>
              <w:rPr>
                <w:sz w:val="14"/>
                <w:szCs w:val="14"/>
                <w:color w:val="auto"/>
              </w:rPr>
            </w:pP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2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actuarial loss (gain)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Unrecognized prior service cost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09"/>
        </w:trPr>
        <w:tc>
          <w:tcPr>
            <w:tcW w:w="3920" w:type="dxa"/>
            <w:vAlign w:val="bottom"/>
            <w:tcBorders>
              <w:top w:val="single" w:sz="8" w:color="CCEEFF"/>
            </w:tcBorders>
            <w:shd w:val="clear" w:color="auto" w:fill="CCEEFF"/>
          </w:tcPr>
          <w:p>
            <w:pPr>
              <w:ind w:left="280"/>
              <w:spacing w:after="0" w:line="110" w:lineRule="exact"/>
              <w:rPr>
                <w:sz w:val="20"/>
                <w:szCs w:val="20"/>
                <w:color w:val="auto"/>
              </w:rPr>
            </w:pPr>
            <w:r>
              <w:rPr>
                <w:rFonts w:ascii="Times New Roman" w:cs="Times New Roman" w:eastAsia="Times New Roman" w:hAnsi="Times New Roman"/>
                <w:sz w:val="12"/>
                <w:szCs w:val="12"/>
                <w:color w:val="auto"/>
              </w:rPr>
              <w:t>Net amount recognized in accumulated other comprehensive loss</w:t>
            </w: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440" w:type="dxa"/>
            <w:vAlign w:val="bottom"/>
            <w:tcBorders>
              <w:top w:val="single" w:sz="8" w:color="auto"/>
            </w:tcBorders>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(18)</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9"/>
        </w:trPr>
        <w:tc>
          <w:tcPr>
            <w:tcW w:w="3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(income)</w:t>
            </w: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changes in plan assets and benefit obligations recognized in other comprehensive income for the year ended December 31, 2025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Pension</w:t>
            </w:r>
          </w:p>
        </w:tc>
        <w:tc>
          <w:tcPr>
            <w:tcW w:w="140" w:type="dxa"/>
            <w:vAlign w:val="bottom"/>
          </w:tcPr>
          <w:p>
            <w:pPr>
              <w:spacing w:after="0"/>
              <w:rPr>
                <w:sz w:val="12"/>
                <w:szCs w:val="12"/>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Postretirement</w:t>
            </w:r>
          </w:p>
        </w:tc>
        <w:tc>
          <w:tcPr>
            <w:tcW w:w="740" w:type="dxa"/>
            <w:vAlign w:val="bottom"/>
          </w:tcPr>
          <w:p>
            <w:pPr>
              <w:spacing w:after="0"/>
              <w:rPr>
                <w:sz w:val="12"/>
                <w:szCs w:val="12"/>
                <w:color w:val="auto"/>
              </w:rPr>
            </w:pPr>
          </w:p>
        </w:tc>
      </w:tr>
      <w:tr>
        <w:trPr>
          <w:trHeight w:val="169"/>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Benefits</w:t>
            </w:r>
          </w:p>
        </w:tc>
        <w:tc>
          <w:tcPr>
            <w:tcW w:w="140" w:type="dxa"/>
            <w:vAlign w:val="bottom"/>
          </w:tcPr>
          <w:p>
            <w:pPr>
              <w:spacing w:after="0"/>
              <w:rPr>
                <w:sz w:val="14"/>
                <w:szCs w:val="14"/>
                <w:color w:val="auto"/>
              </w:rPr>
            </w:pPr>
          </w:p>
        </w:tc>
        <w:tc>
          <w:tcPr>
            <w:tcW w:w="146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740" w:type="dxa"/>
            <w:vAlign w:val="bottom"/>
          </w:tcPr>
          <w:p>
            <w:pPr>
              <w:spacing w:after="0"/>
              <w:rPr>
                <w:sz w:val="14"/>
                <w:szCs w:val="14"/>
                <w:color w:val="auto"/>
              </w:rPr>
            </w:pPr>
          </w:p>
        </w:tc>
      </w:tr>
      <w:tr>
        <w:trPr>
          <w:trHeight w:val="160"/>
        </w:trPr>
        <w:tc>
          <w:tcPr>
            <w:tcW w:w="7640" w:type="dxa"/>
            <w:vAlign w:val="bottom"/>
          </w:tcPr>
          <w:p>
            <w:pPr>
              <w:spacing w:after="0"/>
              <w:rPr>
                <w:sz w:val="13"/>
                <w:szCs w:val="13"/>
                <w:color w:val="auto"/>
              </w:rPr>
            </w:pPr>
          </w:p>
        </w:tc>
        <w:tc>
          <w:tcPr>
            <w:tcW w:w="12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CenterPoint Energy</w:t>
            </w:r>
          </w:p>
        </w:tc>
        <w:tc>
          <w:tcPr>
            <w:tcW w:w="100" w:type="dxa"/>
            <w:vAlign w:val="bottom"/>
            <w:tcBorders>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actuarial loss (gain)</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center"/>
              <w:ind w:left="496"/>
              <w:spacing w:after="0"/>
              <w:rPr>
                <w:sz w:val="20"/>
                <w:szCs w:val="20"/>
                <w:color w:val="auto"/>
              </w:rPr>
            </w:pPr>
            <w:r>
              <w:rPr>
                <w:rFonts w:ascii="Times New Roman" w:cs="Times New Roman" w:eastAsia="Times New Roman" w:hAnsi="Times New Roman"/>
                <w:sz w:val="13"/>
                <w:szCs w:val="13"/>
                <w:color w:val="auto"/>
                <w:w w:val="92"/>
              </w:rPr>
              <w:t>(2)</w:t>
            </w:r>
          </w:p>
        </w:tc>
      </w:tr>
      <w:tr>
        <w:trPr>
          <w:trHeight w:val="16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net actuarial loss (gain)</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center"/>
              <w:ind w:left="496"/>
              <w:spacing w:after="0"/>
              <w:rPr>
                <w:sz w:val="20"/>
                <w:szCs w:val="20"/>
                <w:color w:val="auto"/>
              </w:rPr>
            </w:pPr>
            <w:r>
              <w:rPr>
                <w:rFonts w:ascii="Times New Roman" w:cs="Times New Roman" w:eastAsia="Times New Roman" w:hAnsi="Times New Roman"/>
                <w:sz w:val="13"/>
                <w:szCs w:val="13"/>
                <w:color w:val="auto"/>
                <w:w w:val="92"/>
              </w:rPr>
              <w:t>(2)</w:t>
            </w:r>
          </w:p>
        </w:tc>
      </w:tr>
      <w:tr>
        <w:trPr>
          <w:trHeight w:val="1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cost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516"/>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recognized in comprehensive income</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center"/>
              <w:ind w:left="496"/>
              <w:spacing w:after="0"/>
              <w:rPr>
                <w:sz w:val="20"/>
                <w:szCs w:val="20"/>
                <w:color w:val="auto"/>
              </w:rPr>
            </w:pPr>
            <w:r>
              <w:rPr>
                <w:rFonts w:ascii="Times New Roman" w:cs="Times New Roman" w:eastAsia="Times New Roman" w:hAnsi="Times New Roman"/>
                <w:sz w:val="13"/>
                <w:szCs w:val="13"/>
                <w:color w:val="auto"/>
                <w:w w:val="92"/>
              </w:rPr>
              <w:t>(3)</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7"/>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recognized in net periodic costs and other comprehensive income</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 Pension Plan Assets (CenterPoint Energy)</w:t>
      </w:r>
    </w:p>
    <w:p>
      <w:pPr>
        <w:spacing w:after="0" w:line="202"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In managing the investments associated with the benefit plans, CenterPoint Energy’s objective is to achieve and maintain a fully funded plan. This objective is expected to be achieved through an investment strategy that manages liquidity requirements while maintaining a long-term horizon in making investment decisions and efficient and effective management of plan assets.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part of the investment strategy discussed above, CenterPoint Energy maintained the following weighted-average allocation targets for its pension plans as of December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equity</w:t>
            </w:r>
          </w:p>
        </w:tc>
        <w:tc>
          <w:tcPr>
            <w:tcW w:w="14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International equity</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54" w:name="page155"/>
    <w:bookmarkEnd w:id="154"/>
    <w:p>
      <w:pPr>
        <w:ind w:left="260"/>
        <w:spacing w:after="0"/>
        <w:rPr>
          <w:sz w:val="20"/>
          <w:szCs w:val="20"/>
          <w:color w:val="auto"/>
        </w:rPr>
      </w:pPr>
      <w:r>
        <w:rPr>
          <w:rFonts w:ascii="Times New Roman" w:cs="Times New Roman" w:eastAsia="Times New Roman" w:hAnsi="Times New Roman"/>
          <w:sz w:val="14"/>
          <w:szCs w:val="14"/>
          <w:color w:val="auto"/>
        </w:rPr>
        <w:t>The following tables set forth by level, within the fair value hierarchy (as described in Note 9), CenterPoint Energy’s pension plan assets at fair value as of the dates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companies</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received as collateral from securities lending</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Obligation to return cash received as collateral from securities lending</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treasuries and government agencies</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grade or above</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Asset-backed securities</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 government bonds</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instruments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0"/>
        </w:trPr>
        <w:tc>
          <w:tcPr>
            <w:tcW w:w="3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investments at fair value</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660" w:type="dxa"/>
            <w:vAlign w:val="bottom"/>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color w:val="auto"/>
              </w:rPr>
              <w:t>Investments measured by net asset value per share or its equivalent (1)</w:t>
            </w: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investments in pooled investment funds and common collective trust funds.</w:t>
      </w:r>
    </w:p>
    <w:p>
      <w:pPr>
        <w:spacing w:after="0" w:line="23" w:lineRule="exact"/>
        <w:rPr>
          <w:rFonts w:ascii="Times New Roman" w:cs="Times New Roman" w:eastAsia="Times New Roman" w:hAnsi="Times New Roman"/>
          <w:sz w:val="14"/>
          <w:szCs w:val="14"/>
          <w:color w:val="auto"/>
        </w:rPr>
      </w:pPr>
    </w:p>
    <w:p>
      <w:pPr>
        <w:ind w:left="520" w:right="600" w:hanging="260"/>
        <w:spacing w:after="0" w:line="266" w:lineRule="auto"/>
        <w:tabs>
          <w:tab w:leader="none" w:pos="515"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invested in pooled investment funds were 100% allocated to real estate. The amounts invested common collective trust funds were allocated as follows for the periods presented:</w:t>
      </w:r>
    </w:p>
    <w:p>
      <w:pPr>
        <w:spacing w:after="0" w:line="76" w:lineRule="exact"/>
        <w:rPr>
          <w:sz w:val="20"/>
          <w:szCs w:val="20"/>
          <w:color w:val="auto"/>
        </w:rPr>
      </w:pPr>
    </w:p>
    <w:tbl>
      <w:tblPr>
        <w:tblLayout w:type="fixed"/>
        <w:tblInd w:w="760" w:type="dxa"/>
        <w:tblCellMar>
          <w:top w:w="0" w:type="dxa"/>
          <w:left w:w="0" w:type="dxa"/>
          <w:bottom w:w="0" w:type="dxa"/>
          <w:right w:w="0" w:type="dxa"/>
        </w:tblCellMar>
      </w:tblPr>
      <w:tr>
        <w:trPr>
          <w:trHeight w:val="170"/>
        </w:trPr>
        <w:tc>
          <w:tcPr>
            <w:tcW w:w="61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 equities</w:t>
            </w:r>
          </w:p>
        </w:tc>
        <w:tc>
          <w:tcPr>
            <w:tcW w:w="1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U.S. equities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1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w:t>
            </w: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bl>
    <w:p>
      <w:pPr>
        <w:spacing w:after="0" w:line="282" w:lineRule="exact"/>
        <w:rPr>
          <w:sz w:val="20"/>
          <w:szCs w:val="20"/>
          <w:color w:val="auto"/>
        </w:rPr>
      </w:pPr>
    </w:p>
    <w:p>
      <w:pPr>
        <w:ind w:right="120" w:firstLine="255"/>
        <w:spacing w:after="0" w:line="334" w:lineRule="auto"/>
        <w:rPr>
          <w:sz w:val="20"/>
          <w:szCs w:val="20"/>
          <w:color w:val="auto"/>
        </w:rPr>
      </w:pPr>
      <w:r>
        <w:rPr>
          <w:rFonts w:ascii="Times New Roman" w:cs="Times New Roman" w:eastAsia="Times New Roman" w:hAnsi="Times New Roman"/>
          <w:sz w:val="14"/>
          <w:szCs w:val="14"/>
          <w:color w:val="auto"/>
        </w:rPr>
        <w:t>Level 2 investments, which do not have a quoted price in active market, are valued using the market data provided by independent pricing services or major market makers, to arrive at a price a dealer would pay for the security.</w:t>
      </w:r>
    </w:p>
    <w:p>
      <w:pPr>
        <w:spacing w:after="0" w:line="114"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The pension plans utilized both exchange traded and over-the-counter financial instruments such as futures, interest rate options and swaps that were marked to market daily with the gains or losses settled in the cash accounts. The pension plans did not include any holdings of CenterPoint Energy Common Stock as of December 31, 2025 or 2024.</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 Postretirement Plan Assets</w:t>
      </w:r>
    </w:p>
    <w:p>
      <w:pPr>
        <w:spacing w:after="0" w:line="20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In managing the investments associated with the postretirement plans, the Registrants’ primary objective is to preserve and improve the funded status of the plan, while minimizing volatility. This objective is expected to be achieved through an investment strategy that manages liquidity requirements while maintaining a long-term horizon in making investment decisions and efficient and effective management of plan assets.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part of the investment strategy discussed above, the Registrants maintained the following weighted-average allocation targets for the postretirement plans as of December 31,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0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CERC</w:t>
            </w:r>
          </w:p>
        </w:tc>
        <w:tc>
          <w:tcPr>
            <w:tcW w:w="940" w:type="dxa"/>
            <w:vAlign w:val="bottom"/>
            <w:tcBorders>
              <w:bottom w:val="single" w:sz="8" w:color="auto"/>
            </w:tcBorders>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w w:val="93"/>
              </w:rPr>
              <w:t>Minimum</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w w:val="93"/>
              </w:rPr>
              <w:t>Minimum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94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6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equities</w:t>
            </w: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14 %</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24 %</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13 %</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23 %</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168"/>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International equities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13 %</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13 %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72"/>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68 %</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78 %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69 %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79 %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r>
      <w:tr>
        <w:trPr>
          <w:trHeight w:val="16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5" w:name="page156"/>
    <w:bookmarkEnd w:id="155"/>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sets forth by level, within the fair value hierarchy (as described in Note 9), the Registrants’ postretirement plan assets, all of which were mutual funds, at fair value as of the dates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61"/>
        </w:trPr>
        <w:tc>
          <w:tcPr>
            <w:tcW w:w="3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gridSpan w:val="4"/>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103</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68"/>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6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78</w:t>
            </w:r>
          </w:p>
        </w:tc>
        <w:tc>
          <w:tcPr>
            <w:tcW w:w="220" w:type="dxa"/>
            <w:vAlign w:val="bottom"/>
          </w:tcPr>
          <w:p>
            <w:pPr>
              <w:spacing w:after="0"/>
              <w:rPr>
                <w:sz w:val="14"/>
                <w:szCs w:val="14"/>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w:t>
            </w:r>
          </w:p>
        </w:tc>
        <w:tc>
          <w:tcPr>
            <w:tcW w:w="24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7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amounts invested in mutual funds were allocated as follows as of the dates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240" w:type="dxa"/>
            <w:vAlign w:val="bottom"/>
            <w:tcBorders>
              <w:bottom w:val="single" w:sz="8" w:color="auto"/>
            </w:tcBorders>
          </w:tcPr>
          <w:p>
            <w:pPr>
              <w:spacing w:after="0"/>
              <w:rPr>
                <w:sz w:val="14"/>
                <w:szCs w:val="14"/>
                <w:color w:val="auto"/>
              </w:rPr>
            </w:pPr>
          </w:p>
        </w:tc>
      </w:tr>
      <w:tr>
        <w:trPr>
          <w:trHeight w:val="161"/>
        </w:trPr>
        <w:tc>
          <w:tcPr>
            <w:tcW w:w="330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2"/>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equities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 equities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 Benefit Plan Contributions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made the following contributions in 2025 and are required to make the following minimum contributions in 2026 to the indicated benefit plans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Contributions in 2025</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center"/>
              <w:ind w:right="436"/>
              <w:spacing w:after="0"/>
              <w:rPr>
                <w:sz w:val="20"/>
                <w:szCs w:val="20"/>
                <w:color w:val="auto"/>
              </w:rPr>
            </w:pPr>
            <w:r>
              <w:rPr>
                <w:rFonts w:ascii="Times New Roman" w:cs="Times New Roman" w:eastAsia="Times New Roman" w:hAnsi="Times New Roman"/>
                <w:sz w:val="13"/>
                <w:szCs w:val="13"/>
                <w:b w:val="1"/>
                <w:bCs w:val="1"/>
                <w:color w:val="auto"/>
                <w:w w:val="97"/>
              </w:rPr>
              <w:t>Expected Minimum Contributions in 2026</w:t>
            </w:r>
          </w:p>
        </w:tc>
      </w:tr>
      <w:tr>
        <w:trPr>
          <w:trHeight w:val="161"/>
        </w:trPr>
        <w:tc>
          <w:tcPr>
            <w:tcW w:w="352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9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6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Qualified pension plans</w:t>
            </w: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110</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Non-qualified pension plans</w:t>
            </w:r>
          </w:p>
        </w:tc>
        <w:tc>
          <w:tcPr>
            <w:tcW w:w="5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Pr>
          <w:p>
            <w:pPr>
              <w:spacing w:after="0"/>
              <w:rPr>
                <w:sz w:val="14"/>
                <w:szCs w:val="14"/>
                <w:color w:val="auto"/>
              </w:rPr>
            </w:pP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4"/>
                <w:szCs w:val="14"/>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Postretirement benefit plans</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Benefit payments are expected to be paid by the pension and postretirement benefit plans as follows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26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3"/>
                <w:szCs w:val="13"/>
                <w:b w:val="1"/>
                <w:bCs w:val="1"/>
                <w:color w:val="auto"/>
                <w:w w:val="98"/>
              </w:rPr>
              <w:t>Pension Benefits</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Postretirement Benefits</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260" w:type="dxa"/>
            <w:vAlign w:val="bottom"/>
          </w:tcPr>
          <w:p>
            <w:pPr>
              <w:jc w:val="center"/>
              <w:ind w:left="176"/>
              <w:spacing w:after="0" w:line="120" w:lineRule="exact"/>
              <w:rPr>
                <w:sz w:val="20"/>
                <w:szCs w:val="20"/>
                <w:color w:val="auto"/>
              </w:rPr>
            </w:pPr>
            <w:r>
              <w:rPr>
                <w:rFonts w:ascii="Times New Roman" w:cs="Times New Roman" w:eastAsia="Times New Roman" w:hAnsi="Times New Roman"/>
                <w:sz w:val="13"/>
                <w:szCs w:val="13"/>
                <w:b w:val="1"/>
                <w:bCs w:val="1"/>
                <w:color w:val="auto"/>
                <w:w w:val="97"/>
              </w:rPr>
              <w:t>CenterPoint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left="256"/>
              <w:spacing w:after="0" w:line="120" w:lineRule="exact"/>
              <w:rPr>
                <w:sz w:val="20"/>
                <w:szCs w:val="20"/>
                <w:color w:val="auto"/>
              </w:rPr>
            </w:pPr>
            <w:r>
              <w:rPr>
                <w:rFonts w:ascii="Times New Roman" w:cs="Times New Roman" w:eastAsia="Times New Roman" w:hAnsi="Times New Roman"/>
                <w:sz w:val="13"/>
                <w:szCs w:val="13"/>
                <w:b w:val="1"/>
                <w:bCs w:val="1"/>
                <w:color w:val="auto"/>
                <w:w w:val="97"/>
              </w:rPr>
              <w:t>CenterPoint</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400" w:type="dxa"/>
            <w:vAlign w:val="bottom"/>
          </w:tcPr>
          <w:p>
            <w:pPr>
              <w:spacing w:after="0"/>
              <w:rPr>
                <w:sz w:val="10"/>
                <w:szCs w:val="10"/>
                <w:color w:val="auto"/>
              </w:rPr>
            </w:pPr>
          </w:p>
        </w:tc>
        <w:tc>
          <w:tcPr>
            <w:tcW w:w="120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26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w:t>
            </w:r>
          </w:p>
        </w:tc>
        <w:tc>
          <w:tcPr>
            <w:tcW w:w="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w:t>
            </w:r>
          </w:p>
        </w:tc>
        <w:tc>
          <w:tcPr>
            <w:tcW w:w="360" w:type="dxa"/>
            <w:vAlign w:val="bottom"/>
          </w:tcPr>
          <w:p>
            <w:pPr>
              <w:spacing w:after="0"/>
              <w:rPr>
                <w:sz w:val="14"/>
                <w:szCs w:val="14"/>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20</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w:t>
            </w:r>
          </w:p>
        </w:tc>
        <w:tc>
          <w:tcPr>
            <w:tcW w:w="360" w:type="dxa"/>
            <w:vAlign w:val="bottom"/>
          </w:tcPr>
          <w:p>
            <w:pPr>
              <w:spacing w:after="0"/>
              <w:rPr>
                <w:sz w:val="14"/>
                <w:szCs w:val="14"/>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5"/>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2031-2035</w:t>
            </w: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14"/>
                <w:szCs w:val="14"/>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48</w:t>
            </w: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(h) Savings Plan</w:t>
      </w:r>
    </w:p>
    <w:p>
      <w:pPr>
        <w:spacing w:after="0" w:line="20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maintains the CenterPoint Energy Savings Plan, a tax-qualified employee savings plan that includes a cash or deferred arrangement under Section 401(k) of the Code and an employee stock ownership plan under Section 4975(e)(7) of the Code. Under the plan, participating employees may make pre-tax or Roth contributions and after-tax contributions up to certain federally mandated limits. Participating Registrants provide matching contributions and, as of January 1, 2020, for certain eligible employees, non-elective contributions up to certain limits.</w:t>
      </w:r>
    </w:p>
    <w:p>
      <w:pPr>
        <w:spacing w:after="0" w:line="157" w:lineRule="exact"/>
        <w:rPr>
          <w:sz w:val="20"/>
          <w:szCs w:val="20"/>
          <w:color w:val="auto"/>
        </w:rPr>
      </w:pPr>
    </w:p>
    <w:p>
      <w:pPr>
        <w:ind w:right="680" w:firstLine="255"/>
        <w:spacing w:after="0" w:line="287" w:lineRule="auto"/>
        <w:rPr>
          <w:sz w:val="20"/>
          <w:szCs w:val="20"/>
          <w:color w:val="auto"/>
        </w:rPr>
      </w:pPr>
      <w:r>
        <w:rPr>
          <w:rFonts w:ascii="Times New Roman" w:cs="Times New Roman" w:eastAsia="Times New Roman" w:hAnsi="Times New Roman"/>
          <w:sz w:val="14"/>
          <w:szCs w:val="14"/>
          <w:color w:val="auto"/>
        </w:rPr>
        <w:t>The CenterPoint Energy Savings Plan has significant holdings of Common Stock. As of December 31, 2025, 6,443,228 shares of Common Stock were held by the savings plan, which represented approximately 6% of its investments. Given the concentration of the investments in Common Stock, the savings plan and its participants have market risk related to this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56" w:name="page157"/>
    <w:bookmarkEnd w:id="156"/>
    <w:p>
      <w:pPr>
        <w:ind w:right="60"/>
        <w:spacing w:after="0" w:line="287" w:lineRule="auto"/>
        <w:rPr>
          <w:sz w:val="20"/>
          <w:szCs w:val="20"/>
          <w:color w:val="auto"/>
        </w:rPr>
      </w:pPr>
      <w:r>
        <w:rPr>
          <w:rFonts w:ascii="Times New Roman" w:cs="Times New Roman" w:eastAsia="Times New Roman" w:hAnsi="Times New Roman"/>
          <w:sz w:val="14"/>
          <w:szCs w:val="14"/>
          <w:color w:val="auto"/>
        </w:rPr>
        <w:t>investment. The savings plan limits the percentage of future contributions that can be invested in Common Stock to 25% and prohibits transfers of account balances where the transfer would result in more than 25% of a participant’s total account balance invested in Common Stock.</w:t>
      </w:r>
    </w:p>
    <w:p>
      <w:pPr>
        <w:spacing w:after="0" w:line="145"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allocates the savings plan benefit expense to Houston Electric and CERC related to their respective employees. The following table summarizes the Registrants’ savings plan benefit expense for the periods presented: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ind w:left="366"/>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131"/>
        </w:trPr>
        <w:tc>
          <w:tcPr>
            <w:tcW w:w="29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2025</w:t>
            </w: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129"/>
        </w:trPr>
        <w:tc>
          <w:tcPr>
            <w:tcW w:w="2900" w:type="dxa"/>
            <w:vAlign w:val="bottom"/>
          </w:tcPr>
          <w:p>
            <w:pPr>
              <w:spacing w:after="0"/>
              <w:rPr>
                <w:sz w:val="11"/>
                <w:szCs w:val="11"/>
                <w:color w:val="auto"/>
              </w:rPr>
            </w:pP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220" w:type="dxa"/>
            <w:vAlign w:val="bottom"/>
          </w:tcPr>
          <w:p>
            <w:pPr>
              <w:spacing w:after="0"/>
              <w:rPr>
                <w:sz w:val="11"/>
                <w:szCs w:val="11"/>
                <w:color w:val="auto"/>
              </w:rPr>
            </w:pPr>
          </w:p>
        </w:tc>
        <w:tc>
          <w:tcPr>
            <w:tcW w:w="620" w:type="dxa"/>
            <w:vAlign w:val="bottom"/>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CERC</w:t>
            </w:r>
          </w:p>
        </w:tc>
        <w:tc>
          <w:tcPr>
            <w:tcW w:w="100" w:type="dxa"/>
            <w:vAlign w:val="bottom"/>
          </w:tcPr>
          <w:p>
            <w:pPr>
              <w:spacing w:after="0"/>
              <w:rPr>
                <w:sz w:val="11"/>
                <w:szCs w:val="11"/>
                <w:color w:val="auto"/>
              </w:rPr>
            </w:pPr>
          </w:p>
        </w:tc>
        <w:tc>
          <w:tcPr>
            <w:tcW w:w="1000" w:type="dxa"/>
            <w:vAlign w:val="bottom"/>
            <w:gridSpan w:val="2"/>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940" w:type="dxa"/>
            <w:vAlign w:val="bottom"/>
            <w:gridSpan w:val="2"/>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180" w:type="dxa"/>
            <w:vAlign w:val="bottom"/>
          </w:tcPr>
          <w:p>
            <w:pPr>
              <w:spacing w:after="0"/>
              <w:rPr>
                <w:sz w:val="11"/>
                <w:szCs w:val="11"/>
                <w:color w:val="auto"/>
              </w:rPr>
            </w:pPr>
          </w:p>
        </w:tc>
        <w:tc>
          <w:tcPr>
            <w:tcW w:w="620" w:type="dxa"/>
            <w:vAlign w:val="bottom"/>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CERC</w:t>
            </w:r>
          </w:p>
        </w:tc>
        <w:tc>
          <w:tcPr>
            <w:tcW w:w="80" w:type="dxa"/>
            <w:vAlign w:val="bottom"/>
          </w:tcPr>
          <w:p>
            <w:pPr>
              <w:spacing w:after="0"/>
              <w:rPr>
                <w:sz w:val="11"/>
                <w:szCs w:val="11"/>
                <w:color w:val="auto"/>
              </w:rPr>
            </w:pPr>
          </w:p>
        </w:tc>
        <w:tc>
          <w:tcPr>
            <w:tcW w:w="1000" w:type="dxa"/>
            <w:vAlign w:val="bottom"/>
            <w:gridSpan w:val="2"/>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180" w:type="dxa"/>
            <w:vAlign w:val="bottom"/>
          </w:tcPr>
          <w:p>
            <w:pPr>
              <w:spacing w:after="0"/>
              <w:rPr>
                <w:sz w:val="11"/>
                <w:szCs w:val="11"/>
                <w:color w:val="auto"/>
              </w:rPr>
            </w:pPr>
          </w:p>
        </w:tc>
        <w:tc>
          <w:tcPr>
            <w:tcW w:w="620" w:type="dxa"/>
            <w:vAlign w:val="bottom"/>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CERC</w:t>
            </w:r>
          </w:p>
        </w:tc>
      </w:tr>
      <w:tr>
        <w:trPr>
          <w:trHeight w:val="129"/>
        </w:trPr>
        <w:tc>
          <w:tcPr>
            <w:tcW w:w="29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7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Savings plan benefit expenses (1)</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75</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29</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72</w:t>
            </w:r>
          </w:p>
        </w:tc>
        <w:tc>
          <w:tcPr>
            <w:tcW w:w="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3"/>
                <w:szCs w:val="13"/>
                <w:color w:val="auto"/>
              </w:rPr>
              <w:t>27</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67</w:t>
            </w:r>
          </w:p>
        </w:tc>
        <w:tc>
          <w:tcPr>
            <w:tcW w:w="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bl>
    <w:p>
      <w:pPr>
        <w:spacing w:after="0" w:line="49" w:lineRule="exact"/>
        <w:rPr>
          <w:sz w:val="20"/>
          <w:szCs w:val="20"/>
          <w:color w:val="auto"/>
        </w:rPr>
      </w:pPr>
    </w:p>
    <w:p>
      <w:pPr>
        <w:ind w:left="520" w:right="100" w:hanging="260"/>
        <w:spacing w:after="0" w:line="287" w:lineRule="auto"/>
        <w:tabs>
          <w:tab w:leader="none" w:pos="51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in the table above are included in Operation and maintenance expense in the Registrants’ respective Statements of Consolidated Income and shown prior to any amounts capitalized.</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 Other Benefits Plans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 maintains non-qualified deferred compensation plans that provide benefits payable to eligible directors, officers and select employees or their designated beneficiaries at specified future dates or upon termination, retirement or death. Benefit payments are made from the general assets of the participating Registrants or, in the case of certain plans, from a rabbi trust that is a grantor trust and remains subject to the claims of general creditors under applicable state and federal law. Amounts related to other benefit plans were included in Benefit Obligations in the Registrants’ accompanying Consolidated Balance Sheets as follows for the periods presented:</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1"/>
        </w:trPr>
        <w:tc>
          <w:tcPr>
            <w:tcW w:w="358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compensation plans</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5"/>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Split-dollar life insurance arrangements</w:t>
            </w:r>
          </w:p>
        </w:tc>
        <w:tc>
          <w:tcPr>
            <w:tcW w:w="5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48</w:t>
            </w:r>
          </w:p>
        </w:tc>
        <w:tc>
          <w:tcPr>
            <w:tcW w:w="16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(j) Change in Control Agreements and Other Employee Matters</w:t>
      </w:r>
    </w:p>
    <w:p>
      <w:pPr>
        <w:spacing w:after="0" w:line="202"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maintains a change in control plan for the benefit of certain CenterPoint Energy officers. The plan generally provides, to the extent applicable, in the case of the occurrence of both a change in control of CenterPoint Energy and a covered termination of employment, for severance benefits of one to three times the sum of annual base salary and target annual bonus and other benefits.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the Registrants’ employees were covered by collective bargaining agreements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00" w:type="dxa"/>
            <w:vAlign w:val="bottom"/>
            <w:tcBorders>
              <w:bottom w:val="single" w:sz="8" w:color="auto"/>
            </w:tcBorders>
            <w:gridSpan w:val="5"/>
          </w:tcPr>
          <w:p>
            <w:pPr>
              <w:jc w:val="center"/>
              <w:ind w:left="1056"/>
              <w:spacing w:after="0"/>
              <w:rPr>
                <w:sz w:val="20"/>
                <w:szCs w:val="20"/>
                <w:color w:val="auto"/>
              </w:rPr>
            </w:pPr>
            <w:r>
              <w:rPr>
                <w:rFonts w:ascii="Times New Roman" w:cs="Times New Roman" w:eastAsia="Times New Roman" w:hAnsi="Times New Roman"/>
                <w:sz w:val="13"/>
                <w:szCs w:val="13"/>
                <w:b w:val="1"/>
                <w:bCs w:val="1"/>
                <w:color w:val="auto"/>
                <w:w w:val="97"/>
              </w:rPr>
              <w:t>Percentage of Employees Covered</w:t>
            </w:r>
          </w:p>
        </w:tc>
        <w:tc>
          <w:tcPr>
            <w:tcW w:w="1120" w:type="dxa"/>
            <w:vAlign w:val="bottom"/>
            <w:tcBorders>
              <w:bottom w:val="single" w:sz="8" w:color="auto"/>
            </w:tcBorders>
          </w:tcPr>
          <w:p>
            <w:pPr>
              <w:spacing w:after="0"/>
              <w:rPr>
                <w:sz w:val="14"/>
                <w:szCs w:val="14"/>
                <w:color w:val="auto"/>
              </w:rPr>
            </w:pPr>
          </w:p>
        </w:tc>
      </w:tr>
      <w:tr>
        <w:trPr>
          <w:trHeight w:val="164"/>
        </w:trPr>
        <w:tc>
          <w:tcPr>
            <w:tcW w:w="3860" w:type="dxa"/>
            <w:vAlign w:val="bottom"/>
          </w:tcPr>
          <w:p>
            <w:pPr>
              <w:spacing w:after="0"/>
              <w:rPr>
                <w:sz w:val="14"/>
                <w:szCs w:val="14"/>
                <w:color w:val="auto"/>
              </w:rPr>
            </w:pPr>
          </w:p>
        </w:tc>
        <w:tc>
          <w:tcPr>
            <w:tcW w:w="2900" w:type="dxa"/>
            <w:vAlign w:val="bottom"/>
          </w:tcPr>
          <w:p>
            <w:pPr>
              <w:jc w:val="center"/>
              <w:ind w:left="616"/>
              <w:spacing w:after="0"/>
              <w:rPr>
                <w:sz w:val="20"/>
                <w:szCs w:val="20"/>
                <w:color w:val="auto"/>
              </w:rPr>
            </w:pPr>
            <w:r>
              <w:rPr>
                <w:rFonts w:ascii="Times New Roman" w:cs="Times New Roman" w:eastAsia="Times New Roman" w:hAnsi="Times New Roman"/>
                <w:sz w:val="13"/>
                <w:szCs w:val="13"/>
                <w:b w:val="1"/>
                <w:bCs w:val="1"/>
                <w:color w:val="auto"/>
                <w:w w:val="97"/>
              </w:rPr>
              <w:t>Agreement Expiration</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2"/>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 66</w:t>
            </w:r>
          </w:p>
        </w:tc>
        <w:tc>
          <w:tcPr>
            <w:tcW w:w="2900" w:type="dxa"/>
            <w:vAlign w:val="bottom"/>
            <w:tcBorders>
              <w:top w:val="single" w:sz="8" w:color="CCEEFF"/>
            </w:tcBorders>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7"/>
              </w:rPr>
              <w:t>May 2026</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OPEIU Local 12</w:t>
            </w:r>
          </w:p>
        </w:tc>
        <w:tc>
          <w:tcPr>
            <w:tcW w:w="290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6"/>
              </w:rPr>
              <w:t>December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7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 Workers Union Local 340</w:t>
            </w:r>
          </w:p>
        </w:tc>
        <w:tc>
          <w:tcPr>
            <w:tcW w:w="29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8"/>
              </w:rPr>
              <w:t>April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IBEW Locals 1393 and USW Locals 12213 &amp; 7441</w:t>
            </w:r>
          </w:p>
        </w:tc>
        <w:tc>
          <w:tcPr>
            <w:tcW w:w="290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6"/>
              </w:rPr>
              <w:t>December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4"/>
                <w:szCs w:val="14"/>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17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Locals 949</w:t>
            </w:r>
          </w:p>
        </w:tc>
        <w:tc>
          <w:tcPr>
            <w:tcW w:w="29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6"/>
              </w:rPr>
              <w:t>December 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USW Locals 13-227</w:t>
            </w:r>
          </w:p>
        </w:tc>
        <w:tc>
          <w:tcPr>
            <w:tcW w:w="290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7"/>
              </w:rPr>
              <w:t>June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4"/>
                <w:szCs w:val="14"/>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7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 702</w:t>
            </w:r>
          </w:p>
        </w:tc>
        <w:tc>
          <w:tcPr>
            <w:tcW w:w="29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7"/>
              </w:rPr>
              <w:t>June 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Teamsters Local 135/215</w:t>
            </w:r>
          </w:p>
        </w:tc>
        <w:tc>
          <w:tcPr>
            <w:tcW w:w="290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8"/>
              </w:rPr>
              <w:t>September 2027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UWUA Local 175</w:t>
            </w:r>
          </w:p>
        </w:tc>
        <w:tc>
          <w:tcPr>
            <w:tcW w:w="290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w w:val="98"/>
              </w:rPr>
              <w:t>October 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63"/>
        </w:trPr>
        <w:tc>
          <w:tcPr>
            <w:tcW w:w="3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90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10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54 %</w:t>
            </w:r>
          </w:p>
        </w:tc>
      </w:tr>
      <w:tr>
        <w:trPr>
          <w:trHeight w:val="20"/>
        </w:trPr>
        <w:tc>
          <w:tcPr>
            <w:tcW w:w="3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collective bargaining agreements with IBEW Locals 1393 and USW Locals 12213 &amp; 7441 related to Indiana Gas employees, as well as with IBEW Local 66 related to Houston Electric employees, are scheduled to expire in December 2026 (IBEW Local 1393 &amp; USW Locals 12213 &amp; 7441) and May 2026 (IBEW Local 66), and negotiations of these agreements are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7" w:name="page158"/>
    <w:bookmarkEnd w:id="157"/>
    <w:p>
      <w:pPr>
        <w:ind w:right="60"/>
        <w:spacing w:after="0" w:line="287" w:lineRule="auto"/>
        <w:rPr>
          <w:sz w:val="20"/>
          <w:szCs w:val="20"/>
          <w:color w:val="auto"/>
        </w:rPr>
      </w:pPr>
      <w:r>
        <w:rPr>
          <w:rFonts w:ascii="Times New Roman" w:cs="Times New Roman" w:eastAsia="Times New Roman" w:hAnsi="Times New Roman"/>
          <w:sz w:val="14"/>
          <w:szCs w:val="14"/>
          <w:color w:val="auto"/>
        </w:rPr>
        <w:t>expected to be completed before the respective expirations. The collective bargaining agreement with OPEIU Local 12 related primarily to CERC employees in Minnesota expired in December 2025 and negotiations are ongoing.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Fair Value Measurements</w:t>
      </w:r>
    </w:p>
    <w:p>
      <w:pPr>
        <w:spacing w:after="0" w:line="202"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Assets and liabilities that are recorded at fair value in the Registrants’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45" w:lineRule="exact"/>
        <w:rPr>
          <w:sz w:val="20"/>
          <w:szCs w:val="20"/>
          <w:color w:val="auto"/>
        </w:rPr>
      </w:pPr>
    </w:p>
    <w:p>
      <w:pPr>
        <w:ind w:left="260" w:right="180"/>
        <w:spacing w:after="0" w:line="287" w:lineRule="auto"/>
        <w:rPr>
          <w:sz w:val="20"/>
          <w:szCs w:val="20"/>
          <w:color w:val="auto"/>
        </w:rPr>
      </w:pPr>
      <w:r>
        <w:rPr>
          <w:rFonts w:ascii="Times New Roman" w:cs="Times New Roman" w:eastAsia="Times New Roman" w:hAnsi="Times New Roman"/>
          <w:sz w:val="14"/>
          <w:szCs w:val="14"/>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45" w:lineRule="exact"/>
        <w:rPr>
          <w:sz w:val="20"/>
          <w:szCs w:val="20"/>
          <w:color w:val="auto"/>
        </w:rPr>
      </w:pPr>
    </w:p>
    <w:p>
      <w:pPr>
        <w:ind w:left="260" w:right="40"/>
        <w:spacing w:after="0" w:line="261" w:lineRule="auto"/>
        <w:rPr>
          <w:sz w:val="20"/>
          <w:szCs w:val="20"/>
          <w:color w:val="auto"/>
        </w:rPr>
      </w:pPr>
      <w:r>
        <w:rPr>
          <w:rFonts w:ascii="Times New Roman" w:cs="Times New Roman" w:eastAsia="Times New Roman" w:hAnsi="Times New Roman"/>
          <w:sz w:val="14"/>
          <w:szCs w:val="14"/>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interest rate derivative assets or liabilities and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164"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4"/>
          <w:szCs w:val="14"/>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57" w:lineRule="exact"/>
        <w:rPr>
          <w:sz w:val="20"/>
          <w:szCs w:val="20"/>
          <w:color w:val="auto"/>
        </w:rPr>
      </w:pPr>
    </w:p>
    <w:p>
      <w:pPr>
        <w:ind w:right="660"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determine the appropriate level for each financial asset and liability on a quarterly basis and recognize transfers between levels at the end of the reporting period. As of December 31, 2025 and December 31, 2024, the Registrants did not have any assets or liabilities classified as Level 3.</w:t>
      </w:r>
    </w:p>
    <w:p>
      <w:pPr>
        <w:spacing w:after="0" w:line="145"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Registrants’ assets and liabilities measured at fair value on a recurring basis as of the dates presented and indicate the fair value hierarchy of the valuation techniques utilized by the Registrants to determine such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 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168"/>
        </w:trPr>
        <w:tc>
          <w:tcPr>
            <w:tcW w:w="4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60"/>
        </w:trPr>
        <w:tc>
          <w:tcPr>
            <w:tcW w:w="4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0"/>
        </w:trPr>
        <w:tc>
          <w:tcPr>
            <w:tcW w:w="43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(2)</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0"/>
        </w:trPr>
        <w:tc>
          <w:tcPr>
            <w:tcW w:w="4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4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0"/>
        </w:trPr>
        <w:tc>
          <w:tcPr>
            <w:tcW w:w="4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4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15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00" w:hanging="240"/>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included in Other non-current assets in the respective Consolidated Balance Sheets.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included in Prepaid expenses and other current assets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Items Measured at Fair Value on a Nonrecurring Basis</w:t>
      </w:r>
    </w:p>
    <w:p>
      <w:pPr>
        <w:spacing w:after="0" w:line="191"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As a result of classifying the Ohio Natural Gas LDC business and Louisiana and Mississippi Natural Gas LDC businesses as held for sale at December 31, 2025 and 2024, respectively, CenterPoint Energy and CERC used a market approach consisting of contractual sales price adjusted for estimated working capital and other contractual purchase price adjustments to determine the fair value of the businesses classified as held for sale, which are Level 2 inputs. Neither CenterPoint Energy nor CERC recognized any gains or losses from held for sale for the years ended December 31, 2025 and 2024. See Note 4 for further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Estimated Fair Value of Financial Instruments</w:t>
      </w:r>
    </w:p>
    <w:p>
      <w:pPr>
        <w:spacing w:after="0" w:line="19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fair values of cash and cash equivalents and investments in equity securities measured at fair value are estimated to be approximately equivalent to carrying amounts and have been excluded from the table below. Additionally, CenterPoint Energy’s ZENS indexed debt securities derivative is stated at fair value and is excluded from the table below. The fair value of each debt instrument included below is determined by multiplying the principal amount of each debt instrument by a combination of historical trading prices and comparable issue data. These liabilities, which are not measured at fair value in the Registrants’ Consolidated Balance Sheets, but for which the fair value is disclosed, would be classified as Level 2 in the fair value hierarchy.</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1240" w:type="dxa"/>
            <w:vAlign w:val="bottom"/>
            <w:gridSpan w:val="2"/>
          </w:tcPr>
          <w:p>
            <w:pPr>
              <w:jc w:val="right"/>
              <w:ind w:right="16"/>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3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16"/>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3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320" w:type="dxa"/>
            <w:vAlign w:val="bottom"/>
          </w:tcPr>
          <w:p>
            <w:pPr>
              <w:spacing w:after="0"/>
              <w:rPr>
                <w:sz w:val="10"/>
                <w:szCs w:val="10"/>
                <w:color w:val="auto"/>
              </w:rPr>
            </w:pPr>
          </w:p>
        </w:tc>
        <w:tc>
          <w:tcPr>
            <w:tcW w:w="94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(1)</w:t>
            </w:r>
          </w:p>
        </w:tc>
        <w:tc>
          <w:tcPr>
            <w:tcW w:w="1300" w:type="dxa"/>
            <w:vAlign w:val="bottom"/>
            <w:tcBorders>
              <w:bottom w:val="single" w:sz="8" w:color="auto"/>
            </w:tcBorders>
            <w:gridSpan w:val="2"/>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(1)</w:t>
            </w: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52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Short-term borrowings and long-term debt, including current</w:t>
            </w: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gridSpan w:val="3"/>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Carrying amount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22,980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10,079</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20,961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8,822</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w:t>
            </w:r>
          </w:p>
        </w:tc>
        <w:tc>
          <w:tcPr>
            <w:tcW w:w="0" w:type="dxa"/>
            <w:vAlign w:val="bottom"/>
          </w:tcPr>
          <w:p>
            <w:pPr>
              <w:spacing w:after="0"/>
              <w:rPr>
                <w:sz w:val="1"/>
                <w:szCs w:val="1"/>
                <w:color w:val="auto"/>
              </w:rPr>
            </w:pPr>
          </w:p>
        </w:tc>
      </w:tr>
      <w:tr>
        <w:trPr>
          <w:trHeight w:val="165"/>
        </w:trPr>
        <w:tc>
          <w:tcPr>
            <w:tcW w:w="35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Fair value</w:t>
            </w:r>
          </w:p>
        </w:tc>
        <w:tc>
          <w:tcPr>
            <w:tcW w:w="32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22,377</w:t>
            </w:r>
          </w:p>
        </w:tc>
        <w:tc>
          <w:tcPr>
            <w:tcW w:w="14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9,292</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19,597</w:t>
            </w:r>
          </w:p>
        </w:tc>
        <w:tc>
          <w:tcPr>
            <w:tcW w:w="14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7,746</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00" w:hanging="240"/>
        <w:spacing w:after="0"/>
        <w:tabs>
          <w:tab w:leader="none" w:pos="50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Securitization Bonds.</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Securities and Indexed Debt Securities (ZENS) (CenterPoint Energy)</w:t>
      </w:r>
    </w:p>
    <w:p>
      <w:pPr>
        <w:spacing w:after="0" w:line="19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 Equity Securities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Gains and losses on equity securities, net of transaction costs, are recorded as Gain (loss) on equity securities in CenterPoint Energy’s Statements of Consolidated Income. The following table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presents unrealized gains (losses), net on equity securities owned by CenterPoint Energy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1"/>
        </w:trPr>
        <w:tc>
          <w:tcPr>
            <w:tcW w:w="6180" w:type="dxa"/>
            <w:vAlign w:val="bottom"/>
          </w:tcPr>
          <w:p>
            <w:pPr>
              <w:spacing w:after="0"/>
              <w:rPr>
                <w:sz w:val="14"/>
                <w:szCs w:val="14"/>
                <w:color w:val="auto"/>
              </w:rPr>
            </w:pPr>
          </w:p>
        </w:tc>
        <w:tc>
          <w:tcPr>
            <w:tcW w:w="11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AT&amp;T Common</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Charter Common</w:t>
            </w: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WBD Common</w:t>
            </w:r>
          </w:p>
        </w:tc>
        <w:tc>
          <w:tcPr>
            <w:tcW w:w="1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0"/>
        </w:trPr>
        <w:tc>
          <w:tcPr>
            <w:tcW w:w="6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unrealized gains (losses) on equity securities, net</w:t>
            </w:r>
          </w:p>
        </w:tc>
        <w:tc>
          <w:tcPr>
            <w:tcW w:w="11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20"/>
        </w:trPr>
        <w:tc>
          <w:tcPr>
            <w:tcW w:w="6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its subsidiaries hold shares of certain securities detailed in the table below, which are classified as trading securities. Shares of AT&amp;T Common, Charter Common and WBD Common are expected to be held to facilitate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color w:val="auto"/>
        </w:rPr>
        <w:t>CenterPoint Energy’s ability to meet its obligation under the ZENS. The following table represents information on CenterPoint Energy’s equity securities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 Held at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Carrying Value at December 31,</w:t>
            </w:r>
          </w:p>
        </w:tc>
      </w:tr>
      <w:tr>
        <w:trPr>
          <w:trHeight w:val="161"/>
        </w:trPr>
        <w:tc>
          <w:tcPr>
            <w:tcW w:w="4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44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60" w:type="dxa"/>
            <w:vAlign w:val="bottom"/>
            <w:tcBorders>
              <w:top w:val="single" w:sz="8" w:color="auto"/>
            </w:tcBorders>
          </w:tcPr>
          <w:p>
            <w:pPr>
              <w:spacing w:after="0"/>
              <w:rPr>
                <w:sz w:val="13"/>
                <w:szCs w:val="13"/>
                <w:color w:val="auto"/>
              </w:rPr>
            </w:pPr>
          </w:p>
        </w:tc>
      </w:tr>
      <w:tr>
        <w:trPr>
          <w:trHeight w:val="171"/>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6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72"/>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8"/>
        </w:trPr>
        <w:tc>
          <w:tcPr>
            <w:tcW w:w="5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ZENS</w:t>
      </w:r>
    </w:p>
    <w:p>
      <w:pPr>
        <w:spacing w:after="0" w:line="202"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In September 1999, CenterPoint Energy issued ZENS having an original principal amount of $1.0 billion, of which $828 million remained outstanding as of December 31, 2025.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1"/>
        </w:trPr>
        <w:tc>
          <w:tcPr>
            <w:tcW w:w="7480" w:type="dxa"/>
            <w:vAlign w:val="bottom"/>
          </w:tcPr>
          <w:p>
            <w:pPr>
              <w:spacing w:after="0"/>
              <w:rPr>
                <w:sz w:val="14"/>
                <w:szCs w:val="14"/>
                <w:color w:val="auto"/>
              </w:rPr>
            </w:pPr>
          </w:p>
        </w:tc>
        <w:tc>
          <w:tcPr>
            <w:tcW w:w="22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 shares)</w:t>
            </w:r>
          </w:p>
        </w:tc>
        <w:tc>
          <w:tcPr>
            <w:tcW w:w="152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0.7185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0.7185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228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0.061382</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0.061382</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0.173817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0.173817</w:t>
            </w:r>
          </w:p>
        </w:tc>
      </w:tr>
    </w:tbl>
    <w:p>
      <w:pPr>
        <w:spacing w:after="0" w:line="240"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On June 9, 2025, WBD announced plans to separate the company, in a tax-free transaction, into two publicly traded companies, referred to by WBD as, respectively, the “Streaming &amp; Studios” company and the “Global Networks” company (Discovery Global). On December 5, 2025, Netflix and WBD announced they had entered into an agreement under which Netflix will acquire the “Streaming &amp; Studio” company following the previously-announced division. Under the agreement, each WBD shareholder would receive $23.25 in cash and $4.50 in shares of Netflix common stock for each share of WBD Common outstanding at the closing of the transaction. On January 20, 2026, Netflix and WBD announced they had amended their agreement to be all-cash transaction. If the division and merger close, WBD Common would be exchanged for cash and Discovery Global stock and as a result, reference shares would consist of AT&amp;T Common, Charter Common, and stock in Discovery Global.</w:t>
      </w:r>
    </w:p>
    <w:p>
      <w:pPr>
        <w:spacing w:after="0" w:line="167"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4"/>
          <w:szCs w:val="14"/>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December 31, 2025, the ZENS, having an original principal amount of $828 million and a contingent principal amount of less than $0.1 million, were outstanding and were exchangeable, at the option of the holders, for cash equal to 95% of the market value of the reference shares attributable to the ZENS. As of December 31, 2025, the market value of such shares was approximately $507 million, which would provide an exchange amount of $582 for each $1,000 original principal amount of ZENS. At maturity of the ZENS in 2029, CenterPoint Energy will be obligated to pay in cash the higher of the contingent principal amount of the ZENS or an amount based on the then-current market value of the reference shares, which will include any additional publicly-traded securities distributed with respect to the current reference shares prior to maturity.</w:t>
      </w:r>
    </w:p>
    <w:p>
      <w:pPr>
        <w:spacing w:after="0" w:line="16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ZENS obligation is bifurcated into a debt component and a derivative component (the holder’s option to receive the appreciated value of the reference shares at maturity). The bifurcated debt component accretes through interest charges annually up to the contingent principal amount of the ZENS in 2029. Such accretion will be reduced by annual cash interest payments, as previously described. The derivative component is recorded at fair value and changes in the fair value of the derivative component are recorded as Gain (loss) on indexed debt securities in CenterPoint Energy’s Statements of Consolidated Income. Changes in the fair value of the ZENS-Related Securities held by CenterPoint Energy are expected to substantially offset changes in the fair value of the derivative component of the ZENS.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0" w:name="page161"/>
    <w:bookmarkEnd w:id="160"/>
    <w:p>
      <w:pPr>
        <w:ind w:right="360" w:firstLine="255"/>
        <w:spacing w:after="0" w:line="278" w:lineRule="auto"/>
        <w:rPr>
          <w:sz w:val="20"/>
          <w:szCs w:val="20"/>
          <w:color w:val="auto"/>
        </w:rPr>
      </w:pPr>
      <w:r>
        <w:rPr>
          <w:rFonts w:ascii="Times New Roman" w:cs="Times New Roman" w:eastAsia="Times New Roman" w:hAnsi="Times New Roman"/>
          <w:sz w:val="14"/>
          <w:szCs w:val="14"/>
          <w:color w:val="auto"/>
        </w:rPr>
        <w:t>The following table provides summarized financial information related to CenterPoint Energy’s investment in ZENS-Related Securities and each component of CenterPoint Energy’s ZENS obligation for the periods presented:</w:t>
      </w:r>
    </w:p>
    <w:tbl>
      <w:tblPr>
        <w:tblLayout w:type="fixed"/>
        <w:tblInd w:w="0" w:type="dxa"/>
        <w:tblCellMar>
          <w:top w:w="0" w:type="dxa"/>
          <w:left w:w="0" w:type="dxa"/>
          <w:bottom w:w="0" w:type="dxa"/>
          <w:right w:w="0" w:type="dxa"/>
        </w:tblCellMar>
      </w:tblPr>
      <w:tr>
        <w:trPr>
          <w:trHeight w:val="130"/>
        </w:trPr>
        <w:tc>
          <w:tcPr>
            <w:tcW w:w="6160" w:type="dxa"/>
            <w:vAlign w:val="bottom"/>
          </w:tcPr>
          <w:p>
            <w:pPr>
              <w:spacing w:after="0"/>
              <w:rPr>
                <w:sz w:val="11"/>
                <w:szCs w:val="11"/>
                <w:color w:val="auto"/>
              </w:rPr>
            </w:pPr>
          </w:p>
        </w:tc>
        <w:tc>
          <w:tcPr>
            <w:tcW w:w="14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b w:val="1"/>
                <w:bCs w:val="1"/>
                <w:color w:val="auto"/>
              </w:rPr>
              <w:t>Investment in Equity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Indexed Debt, net</w:t>
            </w:r>
          </w:p>
        </w:tc>
        <w:tc>
          <w:tcPr>
            <w:tcW w:w="120" w:type="dxa"/>
            <w:vAlign w:val="bottom"/>
          </w:tcPr>
          <w:p>
            <w:pPr>
              <w:spacing w:after="0"/>
              <w:rPr>
                <w:sz w:val="11"/>
                <w:szCs w:val="11"/>
                <w:color w:val="auto"/>
              </w:rPr>
            </w:pPr>
          </w:p>
        </w:tc>
        <w:tc>
          <w:tcPr>
            <w:tcW w:w="1520" w:type="dxa"/>
            <w:vAlign w:val="bottom"/>
          </w:tcPr>
          <w:p>
            <w:pPr>
              <w:jc w:val="right"/>
              <w:ind w:right="116"/>
              <w:spacing w:after="0" w:line="130" w:lineRule="exact"/>
              <w:rPr>
                <w:sz w:val="20"/>
                <w:szCs w:val="20"/>
                <w:color w:val="auto"/>
              </w:rPr>
            </w:pPr>
            <w:r>
              <w:rPr>
                <w:rFonts w:ascii="Times New Roman" w:cs="Times New Roman" w:eastAsia="Times New Roman" w:hAnsi="Times New Roman"/>
                <w:sz w:val="13"/>
                <w:szCs w:val="13"/>
                <w:b w:val="1"/>
                <w:bCs w:val="1"/>
                <w:color w:val="auto"/>
                <w:w w:val="99"/>
              </w:rPr>
              <w:t>Indexed Debt Securities</w:t>
            </w:r>
          </w:p>
        </w:tc>
        <w:tc>
          <w:tcPr>
            <w:tcW w:w="0" w:type="dxa"/>
            <w:vAlign w:val="bottom"/>
          </w:tcPr>
          <w:p>
            <w:pPr>
              <w:spacing w:after="0"/>
              <w:rPr>
                <w:sz w:val="1"/>
                <w:szCs w:val="1"/>
                <w:color w:val="auto"/>
              </w:rPr>
            </w:pPr>
          </w:p>
        </w:tc>
      </w:tr>
      <w:tr>
        <w:trPr>
          <w:trHeight w:val="169"/>
        </w:trPr>
        <w:tc>
          <w:tcPr>
            <w:tcW w:w="6160" w:type="dxa"/>
            <w:vAlign w:val="bottom"/>
          </w:tcPr>
          <w:p>
            <w:pPr>
              <w:spacing w:after="0"/>
              <w:rPr>
                <w:sz w:val="14"/>
                <w:szCs w:val="14"/>
                <w:color w:val="auto"/>
              </w:rPr>
            </w:pPr>
          </w:p>
        </w:tc>
        <w:tc>
          <w:tcPr>
            <w:tcW w:w="1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0" w:type="dxa"/>
            <w:vAlign w:val="bottom"/>
          </w:tcPr>
          <w:p>
            <w:pPr>
              <w:spacing w:after="0"/>
              <w:rPr>
                <w:sz w:val="1"/>
                <w:szCs w:val="1"/>
                <w:color w:val="auto"/>
              </w:rPr>
            </w:pPr>
          </w:p>
        </w:tc>
      </w:tr>
      <w:tr>
        <w:trPr>
          <w:trHeight w:val="160"/>
        </w:trPr>
        <w:tc>
          <w:tcPr>
            <w:tcW w:w="6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2022</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debt component of ZENS</w:t>
            </w:r>
          </w:p>
        </w:tc>
        <w:tc>
          <w:tcPr>
            <w:tcW w:w="14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 interest paid</w:t>
            </w:r>
          </w:p>
        </w:tc>
        <w:tc>
          <w:tcPr>
            <w:tcW w:w="1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 to ZENS holders</w:t>
            </w:r>
          </w:p>
        </w:tc>
        <w:tc>
          <w:tcPr>
            <w:tcW w:w="14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indexed debt securities</w:t>
            </w:r>
          </w:p>
        </w:tc>
        <w:tc>
          <w:tcPr>
            <w:tcW w:w="1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ZENS-Related Securities</w:t>
            </w:r>
          </w:p>
        </w:tc>
        <w:tc>
          <w:tcPr>
            <w:tcW w:w="1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14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538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debt component of ZENS</w:t>
            </w:r>
          </w:p>
        </w:tc>
        <w:tc>
          <w:tcPr>
            <w:tcW w:w="14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 interest paid</w:t>
            </w:r>
          </w:p>
        </w:tc>
        <w:tc>
          <w:tcPr>
            <w:tcW w:w="1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 to ZENS holders</w:t>
            </w:r>
          </w:p>
        </w:tc>
        <w:tc>
          <w:tcPr>
            <w:tcW w:w="14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indexed debt securities</w:t>
            </w:r>
          </w:p>
        </w:tc>
        <w:tc>
          <w:tcPr>
            <w:tcW w:w="1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ZENS-Related Securities</w:t>
            </w:r>
          </w:p>
        </w:tc>
        <w:tc>
          <w:tcPr>
            <w:tcW w:w="1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2024</w:t>
            </w:r>
          </w:p>
        </w:tc>
        <w:tc>
          <w:tcPr>
            <w:tcW w:w="14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558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debt component of ZENS</w:t>
            </w:r>
          </w:p>
        </w:tc>
        <w:tc>
          <w:tcPr>
            <w:tcW w:w="14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 interest paid</w:t>
            </w:r>
          </w:p>
        </w:tc>
        <w:tc>
          <w:tcPr>
            <w:tcW w:w="1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 to ZENS holders</w:t>
            </w:r>
          </w:p>
        </w:tc>
        <w:tc>
          <w:tcPr>
            <w:tcW w:w="140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indexed debt securities</w:t>
            </w:r>
          </w:p>
        </w:tc>
        <w:tc>
          <w:tcPr>
            <w:tcW w:w="1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8"/>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on ZENS-Related Securities</w:t>
            </w:r>
          </w:p>
        </w:tc>
        <w:tc>
          <w:tcPr>
            <w:tcW w:w="1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2025</w:t>
            </w:r>
          </w:p>
        </w:tc>
        <w:tc>
          <w:tcPr>
            <w:tcW w:w="1400" w:type="dxa"/>
            <w:vAlign w:val="bottom"/>
            <w:tcBorders>
              <w:top w:val="single" w:sz="8" w:color="auto"/>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Equity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Declared and Paid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dividends declared and dividends paid are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Dividends Declared Per Share</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Dividends Paid Per Share</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0.890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0.830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0.780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0.880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0.810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0.770</w:t>
            </w:r>
          </w:p>
        </w:tc>
      </w:tr>
      <w:tr>
        <w:trPr>
          <w:trHeight w:val="16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 Preferred Stock (1)</w:t>
            </w:r>
          </w:p>
        </w:tc>
        <w:tc>
          <w:tcPr>
            <w:tcW w:w="780" w:type="dxa"/>
            <w:vAlign w:val="bottom"/>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30.625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61.250</w:t>
            </w:r>
          </w:p>
        </w:tc>
      </w:tr>
    </w:tbl>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All of the outstanding shares of Series A Preferred Stock were redeemed during 2023 as further described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Underwritten Offering</w:t>
      </w:r>
    </w:p>
    <w:p>
      <w:pPr>
        <w:spacing w:after="0" w:line="202"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On August 9, 2024, CenterPoint Energy issued 9,754,194 shares of Common Stock in an underwritten public offering at a price of $25.36 per share, for net proceeds of $247 million after deducting issuance costs. The proceeds from the offering were used for the repayment of a portion of CenterPoint Energy’s then-outstanding commercial paper.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Equity Distribution Agreement</w:t>
      </w:r>
    </w:p>
    <w:p>
      <w:pPr>
        <w:spacing w:after="0" w:line="202" w:lineRule="exact"/>
        <w:rPr>
          <w:sz w:val="20"/>
          <w:szCs w:val="20"/>
          <w:color w:val="auto"/>
        </w:rPr>
      </w:pPr>
    </w:p>
    <w:p>
      <w:pPr>
        <w:jc w:val="both"/>
        <w:ind w:right="220" w:firstLine="255"/>
        <w:spacing w:after="0" w:line="264" w:lineRule="auto"/>
        <w:rPr>
          <w:sz w:val="20"/>
          <w:szCs w:val="20"/>
          <w:color w:val="auto"/>
        </w:rPr>
      </w:pPr>
      <w:r>
        <w:rPr>
          <w:rFonts w:ascii="Times New Roman" w:cs="Times New Roman" w:eastAsia="Times New Roman" w:hAnsi="Times New Roman"/>
          <w:sz w:val="14"/>
          <w:szCs w:val="14"/>
          <w:color w:val="auto"/>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The offer and sale of Common Stock under the Equity Distribution Agreement will terminate upon the earliest of (1) the sale of all Common Stock subject to the Equity Distribution Agreement, (2) termination of the Equity Distribution Agreement or (3) May 17, 2026.</w:t>
      </w:r>
    </w:p>
    <w:p>
      <w:pPr>
        <w:spacing w:after="0" w:line="162" w:lineRule="exact"/>
        <w:rPr>
          <w:sz w:val="20"/>
          <w:szCs w:val="20"/>
          <w:color w:val="auto"/>
        </w:rPr>
      </w:pPr>
    </w:p>
    <w:p>
      <w:pPr>
        <w:ind w:right="600" w:firstLine="255"/>
        <w:spacing w:after="0" w:line="287" w:lineRule="auto"/>
        <w:rPr>
          <w:sz w:val="20"/>
          <w:szCs w:val="20"/>
          <w:color w:val="auto"/>
        </w:rPr>
      </w:pPr>
      <w:r>
        <w:rPr>
          <w:rFonts w:ascii="Times New Roman" w:cs="Times New Roman" w:eastAsia="Times New Roman" w:hAnsi="Times New Roman"/>
          <w:sz w:val="14"/>
          <w:szCs w:val="14"/>
          <w:color w:val="auto"/>
        </w:rPr>
        <w:t>In April 2025, CenterPoint Energy entered into separate forward sale agreements pursuant to the Equity Distribution Agreement with certain of the ATM Forward Purchasers relating to 3,277,764 shares and 680,902 shares of Common Stock at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1" w:name="page162"/>
    <w:bookmarkEnd w:id="161"/>
    <w:p>
      <w:pPr>
        <w:spacing w:after="0" w:line="256" w:lineRule="auto"/>
        <w:rPr>
          <w:sz w:val="20"/>
          <w:szCs w:val="20"/>
          <w:color w:val="auto"/>
        </w:rPr>
      </w:pPr>
      <w:r>
        <w:rPr>
          <w:rFonts w:ascii="Times New Roman" w:cs="Times New Roman" w:eastAsia="Times New Roman" w:hAnsi="Times New Roman"/>
          <w:sz w:val="14"/>
          <w:szCs w:val="14"/>
          <w:color w:val="auto"/>
        </w:rPr>
        <w:t>an initial forward price of $36.29 per share and $36.72 per share, respectively. The gross sales price of these shares totaled approximately $120 million and $25 million, respectively. In connection with these sales, the ATM Forward Sellers were deemed to have received commissions of approximately $1 million and less than $1 million, respectively. In May 2025, CenterPoint Energy entered into a forward sale agreement with an ATM Forward Purchaser relating to 521,962 shares of Common Stock at an initial forward price of $37.49 per share. The gross sales price of these shares totaled approximately $20 million. In connection with these sales, the ATM Forward Seller was deemed to have received a commission of less than $1 million. CenterPoint Energy has not received any proceeds from such sales of borrowed shares. On a settlement date or dates, if CenterPoint Energy elects to physically settle the forward sale agreements, CenterPoint Energy will issue shares of Common Stock to the counterparties at the then-applicable forward sale price. The forward price used to determine amounts due at settlement is calculated based on a floating interest rate factor equal to the overnight bank funding rate less a spread of 75 basis points, and will be subject to decrease on certain dates specified in the forward sale agreements by specified amounts related to expected dividends on the shares of the Common Stock during the term of the forward sale agreements. If the overnight bank funding rate is less than or more than the spread on any day, the interest rate factor will result in a reduction or an increase, respectively, of the forward sale price. 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17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forward sale agreements pursuant to the Equity Distribution Agreement require CenterPoint Energy to, at its election on or prior to May 14, 2026, either (1) physically settle the transactions by issuing the total of 4,480,628 shares of Common Stock to the counterparties in exchange for cash of approximately $165 million or (2) net settle the transactions in whole or in part through the delivery or receipt of cash or shares of Common Stock. Pursuant to such net settlement provisions, these agreements could have been settled on December 31, 2025 by CenterPoint Energy’s delivery of approximately $7.0 million of cash or 187,450 shares of Common Stock to the banking counterparties if CenterPoint Energy unilaterally elected net cash or net share settlement, respectively. As of December 31, 2025, CenterPoint Energy had approximately $85 million of remaining capacity available under the at-the-market program.</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 Forward Sale Agreements</w:t>
      </w:r>
    </w:p>
    <w:p>
      <w:pPr>
        <w:spacing w:after="0" w:line="20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In May 2025, CenterPoint Energy entered into separate forward sale agreements with certain financial institutions relating to an aggregate of 24,864,865 shares of Common Stock at an initial forward price of $36.26 per share. On a settlement date or dates, if CenterPoint Energy elects to physically settle the forward sale agreements, CenterPoint Energy will issue shares of Common Stock to the counterparties at the then-applicable forward sale price. Each forward sale agreement provides that the initial forward sale price will be subject to adjustment based on a floating interest rate factor equal to the overnight bank funding rate less a spread of 75 basis points, and will be subject to decrease on each of certain dates specified in the relevant forward sale agreement by amounts related to expected dividends on shares of the Common Stock during the term of such forward sale agreement. If the overnight bank funding rate is less than or more than the spread on any day, the interest rate factor will result in a reduction or an increase, respectively of the forward sale price. 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168"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forward sale agreements require CenterPoint Energy to, at its election on or prior to February 25, 2027, either (1) physically settle the transactions by issuing the total of 24,864,865 shares of Common Stock to the counterparties in exchange for cash of $907 million or (2) net settle the transactions in whole or in part through the delivery or receipt of cash or shares of Common Stock. Pursuant to such net settlement provisions, these agreements could also have been settled on December 31, 2025 by CenterPoint Energy’s delivery of approximately $45 million of cash or 1,161,405 shares of Common Stock to the banking counterparties if CenterPoint Energy unilaterally elected net cash or net share settlement,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 (CenterPoint Energy)</w:t>
      </w:r>
    </w:p>
    <w:p>
      <w:pPr>
        <w:spacing w:after="0" w:line="202"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On September 1, 2023, CenterPoint Energy redeemed all 800,000 outstanding shares of Series A Preferred Stock, in whole for cash at a redemption price of $1,000. Income allocated to the Series A Preferred shareholders was $50 million for the year ended December 31, 2023. The Series A Preferred Stock accrued cumulative dividends, calculated as a percentage of the stated amount per share, at a fixed annual rate of 6.125% per annum to be paid in cash if, when and as declared. If declared, dividends were payable semi-annually in arrears on each March 1 and September 1.</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 (CenterPoint Energy, Houston Electric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accumulated other comprehensive income (loss) are as follows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4"/>
        </w:trPr>
        <w:tc>
          <w:tcPr>
            <w:tcW w:w="47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0"/>
        </w:trPr>
        <w:tc>
          <w:tcPr>
            <w:tcW w:w="4760" w:type="dxa"/>
            <w:vAlign w:val="bottom"/>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4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3"/>
        </w:trPr>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5"/>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Remeasurement of pension and other postretirement plans</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4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deferred gain from cash flow hedges</w:t>
            </w:r>
          </w:p>
        </w:tc>
        <w:tc>
          <w:tcPr>
            <w:tcW w:w="4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4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Prior service cost (1)</w:t>
            </w:r>
          </w:p>
        </w:tc>
        <w:tc>
          <w:tcPr>
            <w:tcW w:w="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Actuarial losses (gain) (1)</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4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Reclassification of deferred gain from cash flow hedges realized in net income (2)</w:t>
            </w:r>
          </w:p>
        </w:tc>
        <w:tc>
          <w:tcPr>
            <w:tcW w:w="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benefit (expense)</w:t>
            </w:r>
          </w:p>
        </w:tc>
        <w:tc>
          <w:tcPr>
            <w:tcW w:w="4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4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4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81"/>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46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computation of net periodic cost and are reflected in Other income (expense), net in each of the Registrants’ respective Statements of Consolidated Income.</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reflected in Interest expense and other finance charges in CenterPoint Energy’s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3" w:name="page164"/>
    <w:bookmarkEnd w:id="163"/>
    <w:p>
      <w:pPr>
        <w:ind w:left="280" w:hanging="275"/>
        <w:spacing w:after="0"/>
        <w:tabs>
          <w:tab w:leader="none" w:pos="28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Short-term Borrowings and Long-term Debt</w:t>
      </w:r>
    </w:p>
    <w:p>
      <w:pPr>
        <w:spacing w:after="0" w:line="19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Short-term Borrowings and Long-term Debt: </w:t>
      </w:r>
      <w:r>
        <w:rPr>
          <w:rFonts w:ascii="Times New Roman" w:cs="Times New Roman" w:eastAsia="Times New Roman" w:hAnsi="Times New Roman"/>
          <w:sz w:val="14"/>
          <w:szCs w:val="14"/>
          <w:color w:val="auto"/>
        </w:rPr>
        <w:t>The Registrants had the following short-term borrowings and long-term debt outstanding as of the dates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Current (1)</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Current (1)</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ZENS due 2029 (2)</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senior notes 1.45% to 5.25% due 2026 to 2049</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8"/>
              </w:rPr>
              <w:t>1,517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Junior Subordinated Notes 5.95% to 7.00% due 2055 to 2056</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pollution control bonds 5.125% due 2028 (3)</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commercial paper (4)</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SIGECO first mortgage bonds 3.45% to 6.18% due 2025 to 2055 (5)</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SIGECO Securitization Bonds 5.026% to 5.172% due 2036 to 2041 (6)</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Unamortized debt issuance costs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Unamortized discount and premium, net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 debt (see details below)</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 debt (see details below)</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5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CenterPoint Energy debt</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20,566</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2,414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20,397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 Term Borrowings: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Term loan (7)</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6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Long-term debt:</w:t>
            </w:r>
          </w:p>
        </w:tc>
        <w:tc>
          <w:tcPr>
            <w:tcW w:w="2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mortgage bonds 2.35% to 6.95% due 2026 to 2053 (8)</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Restoration Bond Company II Securitization Bonds 4.26% to 4.83% due 2035 to 2040 (9)</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Unamortized debt issuance costs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Unamortized discount and premium, net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5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Houston Electric debt</w:t>
            </w: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CERC (10):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 1.75% to 6.625% due 2026 to 2047</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Indiana Gas senior notes 6.34% to 7.08% due 2025 to 2029</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paper (4)</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Unamortized debt issuance costs</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5"/>
                <w:szCs w:val="15"/>
                <w:color w:val="auto"/>
              </w:rPr>
            </w:pPr>
          </w:p>
        </w:tc>
        <w:tc>
          <w:tcPr>
            <w:tcW w:w="5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CERC debt</w:t>
            </w: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due or exchangeable within one year of the date noted.</w:t>
      </w:r>
    </w:p>
    <w:p>
      <w:pPr>
        <w:spacing w:after="0" w:line="23" w:lineRule="exact"/>
        <w:rPr>
          <w:rFonts w:ascii="Times New Roman" w:cs="Times New Roman" w:eastAsia="Times New Roman" w:hAnsi="Times New Roman"/>
          <w:sz w:val="14"/>
          <w:szCs w:val="14"/>
          <w:color w:val="auto"/>
        </w:rPr>
      </w:pPr>
    </w:p>
    <w:p>
      <w:pPr>
        <w:ind w:left="520" w:right="140" w:hanging="260"/>
        <w:spacing w:after="0" w:line="253" w:lineRule="auto"/>
        <w:tabs>
          <w:tab w:leader="none" w:pos="515"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ZENS obligation is bifurcated into a debt component and an embedded derivative component. For additional information regarding ZENS, see Note 10(b). As ZENS are exchangeable for cash at any time at the option of the holders, these notes are classified as a current portion of long-term debt.</w:t>
      </w:r>
    </w:p>
    <w:p>
      <w:pPr>
        <w:ind w:left="520" w:right="360" w:hanging="260"/>
        <w:spacing w:after="0" w:line="253" w:lineRule="auto"/>
        <w:tabs>
          <w:tab w:leader="none" w:pos="515"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pollution control bonds were secured by general mortgage bonds of Houston Electric as of December 31, 2025 and 2024 and are not reflected in Houston Electric’s consolidated financial statements because of the contingent nature of the obligations.</w:t>
      </w:r>
    </w:p>
    <w:p>
      <w:pPr>
        <w:jc w:val="both"/>
        <w:ind w:left="520" w:hanging="260"/>
        <w:spacing w:after="0" w:line="253" w:lineRule="auto"/>
        <w:tabs>
          <w:tab w:leader="none" w:pos="515"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issued by CenterPoint Energy and CERC Corp. has maturities up to 60 days and 30 days, respectively, and are backstopped by the respective issuer’s long-term revolving credit facility. Commercial paper is classified as long-term because the termination date of the facility that backstops the commercial paper is more than one year from the balance sheet date.</w:t>
      </w:r>
    </w:p>
    <w:p>
      <w:pPr>
        <w:ind w:left="500" w:hanging="240"/>
        <w:spacing w:after="0"/>
        <w:tabs>
          <w:tab w:leader="none" w:pos="5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mortgage bonds issued by SIGECO subject SIGECO’s properties to a lien under the related mortgage indenture as further discussed below.</w:t>
      </w:r>
    </w:p>
    <w:p>
      <w:pPr>
        <w:spacing w:after="0" w:line="8" w:lineRule="exact"/>
        <w:rPr>
          <w:rFonts w:ascii="Times New Roman" w:cs="Times New Roman" w:eastAsia="Times New Roman" w:hAnsi="Times New Roman"/>
          <w:sz w:val="14"/>
          <w:szCs w:val="14"/>
          <w:color w:val="auto"/>
        </w:rPr>
      </w:pPr>
    </w:p>
    <w:p>
      <w:pPr>
        <w:ind w:left="520" w:right="320" w:hanging="260"/>
        <w:spacing w:after="0" w:line="266" w:lineRule="auto"/>
        <w:tabs>
          <w:tab w:leader="none" w:pos="515"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Scheduled final payment dates are November 15, 2036 and May 15, 2041. The SIGECO Securitization Bonds will be repaid over time through a securitization charge imposed on retail electric customers in SIGECO’s service territory.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164" w:name="page165"/>
    <w:bookmarkEnd w:id="164"/>
    <w:p>
      <w:pPr>
        <w:jc w:val="both"/>
        <w:ind w:left="520" w:right="160" w:hanging="260"/>
        <w:spacing w:after="0" w:line="260" w:lineRule="auto"/>
        <w:tabs>
          <w:tab w:leader="none" w:pos="51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20, 2025, Houston Electric, Mizuho Bank, Ltd., as administrative agent, and the banks party thereto entered into a First Amendment to the Term Loan Agreement, amending Houston Electric’s Term Loan Agreement dated as of June 24, 2024. The First Amendment extended the maturity date of the Term Loan Agreement from December 24, 2025 to March 31, 2026.</w:t>
      </w:r>
    </w:p>
    <w:p>
      <w:pPr>
        <w:ind w:left="500" w:hanging="240"/>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mortgage bonds issued by Houston Electric subject Houston Electric’s properties to a lien under the General Mortgage as further discussed below.</w:t>
      </w:r>
    </w:p>
    <w:p>
      <w:pPr>
        <w:spacing w:after="0" w:line="8" w:lineRule="exact"/>
        <w:rPr>
          <w:rFonts w:ascii="Times New Roman" w:cs="Times New Roman" w:eastAsia="Times New Roman" w:hAnsi="Times New Roman"/>
          <w:sz w:val="14"/>
          <w:szCs w:val="14"/>
          <w:color w:val="auto"/>
        </w:rPr>
      </w:pPr>
    </w:p>
    <w:p>
      <w:pPr>
        <w:ind w:left="520" w:right="200" w:hanging="260"/>
        <w:spacing w:after="0" w:line="253" w:lineRule="auto"/>
        <w:tabs>
          <w:tab w:leader="none" w:pos="51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Scheduled final payment dates are December 15, 2035 and June 15, 2040. The Restoration Bond Company II Securitization Bonds will be repaid over time through a securitization charge imposed on retail electric customers in Houston Electric’s service territory.</w:t>
      </w:r>
    </w:p>
    <w:p>
      <w:pPr>
        <w:ind w:left="540" w:hanging="280"/>
        <w:spacing w:after="0"/>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CERC Corp.</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Debt Transactions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Debt Issuances. </w:t>
      </w:r>
      <w:r>
        <w:rPr>
          <w:rFonts w:ascii="Times New Roman" w:cs="Times New Roman" w:eastAsia="Times New Roman" w:hAnsi="Times New Roman"/>
          <w:sz w:val="14"/>
          <w:szCs w:val="14"/>
          <w:color w:val="auto"/>
        </w:rPr>
        <w:t>During 2025, the following debt instruments were issued or incurred: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Issuance Date</w:t>
            </w:r>
          </w:p>
        </w:tc>
        <w:tc>
          <w:tcPr>
            <w:tcW w:w="1880" w:type="dxa"/>
            <w:vAlign w:val="bottom"/>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rPr>
              <w:t>Debt Instrument</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0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0" w:type="dxa"/>
            <w:vAlign w:val="bottom"/>
          </w:tcPr>
          <w:p>
            <w:pPr>
              <w:spacing w:after="0"/>
              <w:rPr>
                <w:sz w:val="1"/>
                <w:szCs w:val="1"/>
                <w:color w:val="auto"/>
              </w:rPr>
            </w:pPr>
          </w:p>
        </w:tc>
      </w:tr>
      <w:tr>
        <w:trPr>
          <w:trHeight w:val="169"/>
        </w:trPr>
        <w:tc>
          <w:tcPr>
            <w:tcW w:w="228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Principal Amount</w:t>
            </w:r>
          </w:p>
        </w:tc>
        <w:tc>
          <w:tcPr>
            <w:tcW w:w="202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 except for interest rates)</w:t>
            </w:r>
          </w:p>
        </w:tc>
        <w:tc>
          <w:tcPr>
            <w:tcW w:w="1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 (1)</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February 2025</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Mortgage Bonds</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92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5"/>
              </w:rPr>
              <w:t>4.80%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0" w:type="dxa"/>
            <w:vAlign w:val="bottom"/>
          </w:tcPr>
          <w:p>
            <w:pPr>
              <w:spacing w:after="0"/>
              <w:rPr>
                <w:sz w:val="1"/>
                <w:szCs w:val="1"/>
                <w:color w:val="auto"/>
              </w:rPr>
            </w:pPr>
          </w:p>
        </w:tc>
      </w:tr>
      <w:tr>
        <w:trPr>
          <w:trHeight w:val="168"/>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 (2)</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August 2025</w:t>
            </w:r>
          </w:p>
        </w:tc>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Mortgage Bonds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92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5"/>
              </w:rPr>
              <w:t>4.95%</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2035</w:t>
            </w:r>
          </w:p>
        </w:tc>
        <w:tc>
          <w:tcPr>
            <w:tcW w:w="0" w:type="dxa"/>
            <w:vAlign w:val="bottom"/>
          </w:tcPr>
          <w:p>
            <w:pPr>
              <w:spacing w:after="0"/>
              <w:rPr>
                <w:sz w:val="1"/>
                <w:szCs w:val="1"/>
                <w:color w:val="auto"/>
              </w:rPr>
            </w:pPr>
          </w:p>
        </w:tc>
      </w:tr>
      <w:tr>
        <w:trPr>
          <w:trHeight w:val="172"/>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 (3)</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September 2025</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Securitization Bonds</w:t>
            </w:r>
          </w:p>
        </w:tc>
        <w:tc>
          <w:tcPr>
            <w:tcW w:w="8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92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6"/>
              </w:rPr>
              <w:t>4.255% - 4.826%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2035 - 2040</w:t>
            </w:r>
          </w:p>
        </w:tc>
        <w:tc>
          <w:tcPr>
            <w:tcW w:w="0" w:type="dxa"/>
            <w:vAlign w:val="bottom"/>
          </w:tcPr>
          <w:p>
            <w:pPr>
              <w:spacing w:after="0"/>
              <w:rPr>
                <w:sz w:val="1"/>
                <w:szCs w:val="1"/>
                <w:color w:val="auto"/>
              </w:rPr>
            </w:pPr>
          </w:p>
        </w:tc>
      </w:tr>
      <w:tr>
        <w:trPr>
          <w:trHeight w:val="158"/>
        </w:trPr>
        <w:tc>
          <w:tcPr>
            <w:tcW w:w="2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Houston Electric</w:t>
            </w:r>
          </w:p>
        </w:tc>
        <w:tc>
          <w:tcPr>
            <w:tcW w:w="8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1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(4)</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January 2025</w:t>
            </w:r>
          </w:p>
        </w:tc>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92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5"/>
              </w:rPr>
              <w:t>5.69%</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2055</w:t>
            </w:r>
          </w:p>
        </w:tc>
        <w:tc>
          <w:tcPr>
            <w:tcW w:w="0" w:type="dxa"/>
            <w:vAlign w:val="bottom"/>
          </w:tcPr>
          <w:p>
            <w:pPr>
              <w:spacing w:after="0"/>
              <w:rPr>
                <w:sz w:val="1"/>
                <w:szCs w:val="1"/>
                <w:color w:val="auto"/>
              </w:rPr>
            </w:pPr>
          </w:p>
        </w:tc>
      </w:tr>
      <w:tr>
        <w:trPr>
          <w:trHeight w:val="172"/>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(5)</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July 2025</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92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5"/>
              </w:rPr>
              <w:t>5.09%</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0" w:type="dxa"/>
            <w:vAlign w:val="bottom"/>
          </w:tcPr>
          <w:p>
            <w:pPr>
              <w:spacing w:after="0"/>
              <w:rPr>
                <w:sz w:val="1"/>
                <w:szCs w:val="1"/>
                <w:color w:val="auto"/>
              </w:rPr>
            </w:pPr>
          </w:p>
        </w:tc>
      </w:tr>
      <w:tr>
        <w:trPr>
          <w:trHeight w:val="168"/>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(5)</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July 2025</w:t>
            </w:r>
          </w:p>
        </w:tc>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92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5"/>
              </w:rPr>
              <w:t>5.52%</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2035</w:t>
            </w:r>
          </w:p>
        </w:tc>
        <w:tc>
          <w:tcPr>
            <w:tcW w:w="0" w:type="dxa"/>
            <w:vAlign w:val="bottom"/>
          </w:tcPr>
          <w:p>
            <w:pPr>
              <w:spacing w:after="0"/>
              <w:rPr>
                <w:sz w:val="1"/>
                <w:szCs w:val="1"/>
                <w:color w:val="auto"/>
              </w:rPr>
            </w:pPr>
          </w:p>
        </w:tc>
      </w:tr>
      <w:tr>
        <w:trPr>
          <w:trHeight w:val="172"/>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(6)</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July 2025</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 Convertible Senior Notes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92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5"/>
              </w:rPr>
              <w:t>3.00%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0" w:type="dxa"/>
            <w:vAlign w:val="bottom"/>
          </w:tcPr>
          <w:p>
            <w:pPr>
              <w:spacing w:after="0"/>
              <w:rPr>
                <w:sz w:val="1"/>
                <w:szCs w:val="1"/>
                <w:color w:val="auto"/>
              </w:rPr>
            </w:pPr>
          </w:p>
        </w:tc>
      </w:tr>
      <w:tr>
        <w:trPr>
          <w:trHeight w:val="168"/>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(7)</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October 2025</w:t>
            </w:r>
          </w:p>
        </w:tc>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92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5"/>
              </w:rPr>
              <w:t>5.77%</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2040</w:t>
            </w:r>
          </w:p>
        </w:tc>
        <w:tc>
          <w:tcPr>
            <w:tcW w:w="0" w:type="dxa"/>
            <w:vAlign w:val="bottom"/>
          </w:tcPr>
          <w:p>
            <w:pPr>
              <w:spacing w:after="0"/>
              <w:rPr>
                <w:sz w:val="1"/>
                <w:szCs w:val="1"/>
                <w:color w:val="auto"/>
              </w:rPr>
            </w:pPr>
          </w:p>
        </w:tc>
      </w:tr>
      <w:tr>
        <w:trPr>
          <w:trHeight w:val="172"/>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(7)</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October 2025</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92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5"/>
              </w:rPr>
              <w:t>6.18%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2055</w:t>
            </w:r>
          </w:p>
        </w:tc>
        <w:tc>
          <w:tcPr>
            <w:tcW w:w="0" w:type="dxa"/>
            <w:vAlign w:val="bottom"/>
          </w:tcPr>
          <w:p>
            <w:pPr>
              <w:spacing w:after="0"/>
              <w:rPr>
                <w:sz w:val="1"/>
                <w:szCs w:val="1"/>
                <w:color w:val="auto"/>
              </w:rPr>
            </w:pPr>
          </w:p>
        </w:tc>
      </w:tr>
      <w:tr>
        <w:trPr>
          <w:trHeight w:val="168"/>
        </w:trPr>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(8)</w:t>
            </w:r>
          </w:p>
        </w:tc>
        <w:tc>
          <w:tcPr>
            <w:tcW w:w="17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October 2025</w:t>
            </w:r>
          </w:p>
        </w:tc>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Junior Subordinated Notes</w:t>
            </w: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92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3"/>
                <w:szCs w:val="13"/>
                <w:color w:val="auto"/>
                <w:w w:val="95"/>
              </w:rPr>
              <w:t>5.95%</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2056</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CenterPoint Energy</w:t>
            </w:r>
          </w:p>
        </w:tc>
        <w:tc>
          <w:tcPr>
            <w:tcW w:w="8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w:t>
            </w:r>
          </w:p>
        </w:tc>
        <w:tc>
          <w:tcPr>
            <w:tcW w:w="1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right="100" w:hanging="260"/>
        <w:spacing w:after="0" w:line="26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proceeds from Houston Electric’s February 2025 issuance of general mortgage bonds, after deducting transaction expenses and fees, were approximately $495 million, which were used for general limited liability company purposes, including capital expenditures and working capital purposes.</w:t>
      </w:r>
    </w:p>
    <w:p>
      <w:pPr>
        <w:ind w:left="520" w:hanging="260"/>
        <w:spacing w:after="0" w:line="25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proceeds from Houston Electric’s August 2025 issuance of general mortgage bonds, after deducting transaction expenses and fees, were approximately $592 million, which were used for general limited liability company purposes, including capital expenditures and working capital purposes.</w:t>
      </w:r>
    </w:p>
    <w:p>
      <w:pPr>
        <w:ind w:left="520" w:right="240" w:hanging="260"/>
        <w:spacing w:after="0" w:line="25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Restoration Bond Company II. Net proceeds from the September 2025 issuance of the Restoration Bond Company II Securitization Bonds, after deducting transaction expenses and fees, were approximately $396 million, which were used to purchase the system restoration property from Houston Electric.</w:t>
      </w:r>
    </w:p>
    <w:p>
      <w:pPr>
        <w:ind w:left="520" w:right="260" w:hanging="260"/>
        <w:spacing w:after="0" w:line="25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SIGECO. Net proceeds from SIGECO’s January 2025 issuance of first mortgage bonds, after deducting transaction expenses and fees, were approximately $164 million, which were used for the acquisition of Posey Solar.</w:t>
      </w:r>
    </w:p>
    <w:p>
      <w:pPr>
        <w:ind w:left="520" w:right="160" w:hanging="260"/>
        <w:spacing w:after="0" w:line="25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SIGECO. Total proceeds from SIGECO’s July 2025 issuance of the Series 2025B Bonds were used for general corporate purposes, including repaying short-term debt, refunding long-term debt at maturity or otherwise and funding capital expenditures.</w:t>
      </w:r>
    </w:p>
    <w:p>
      <w:pPr>
        <w:ind w:left="520" w:right="20" w:hanging="260"/>
        <w:spacing w:after="0" w:line="25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proceeds from CenterPoint Energy’s July 2025 issuance of convertible senior notes, after deducting transaction expenses and fees, were approximately $987 million, which were used for general corporate purposes, including repayment of a portion of CenterPoint Energy’s outstanding commercial paper and other debt.</w:t>
      </w:r>
    </w:p>
    <w:p>
      <w:pPr>
        <w:ind w:left="520" w:right="100" w:hanging="260"/>
        <w:spacing w:after="0" w:line="25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SIGECO. Total proceeds from SIGECO’s October 2025 issuance of first mortgage bonds of the Series 2025C Bonds were used for general corporate purposes, including repaying short-term debt, refunding long-term debt at maturity or otherwise and funding capital expenditures.</w:t>
      </w:r>
    </w:p>
    <w:p>
      <w:pPr>
        <w:ind w:left="520" w:right="200" w:hanging="260"/>
        <w:spacing w:after="0" w:line="266"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proceeds from CenterPoint Energy’s October 2025 issuance of junior subordinated notes, after deducting transaction expenses and fees, were approximately $691 million, which were used for general corporate purposes, including the repayment of a portion of CenterPoint Energy’s outstanding commercial paper.</w:t>
      </w:r>
    </w:p>
    <w:p>
      <w:pPr>
        <w:spacing w:after="0" w:line="157"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Junior Subordinated Notes due 2056. </w:t>
      </w:r>
      <w:r>
        <w:rPr>
          <w:rFonts w:ascii="Times New Roman" w:cs="Times New Roman" w:eastAsia="Times New Roman" w:hAnsi="Times New Roman"/>
          <w:sz w:val="14"/>
          <w:szCs w:val="14"/>
          <w:color w:val="auto"/>
        </w:rPr>
        <w:t>As described in the table above, in October 2025, CenterPoint Energy issued $700 million aggregate principal amount of 5.950% Fixed-to-Fixed Reset 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Junior Subordinated Notes, Series D, due 2056</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5" w:name="page166"/>
    <w:bookmarkEnd w:id="165"/>
    <w:p>
      <w:pPr>
        <w:spacing w:after="0" w:line="257" w:lineRule="auto"/>
        <w:rPr>
          <w:sz w:val="20"/>
          <w:szCs w:val="20"/>
          <w:color w:val="auto"/>
        </w:rPr>
      </w:pPr>
      <w:r>
        <w:rPr>
          <w:rFonts w:ascii="Times New Roman" w:cs="Times New Roman" w:eastAsia="Times New Roman" w:hAnsi="Times New Roman"/>
          <w:sz w:val="14"/>
          <w:szCs w:val="14"/>
          <w:color w:val="auto"/>
        </w:rPr>
        <w:t>(the “Series D Notes”). Interest on the Series D Notes accrues from October 2, 2025 and is payable semiannually in arrears on April 1 and October 1 of each year, beginning on April 1, 2026, and maturing on April 1, 2056. The Series D Notes bear interest (i) from and including October 2, 2025 to, but excluding, April 1, 2031 at the rate of 5.950% per annum and (ii) from and including April 1, 2031, during each five-year period following April 1, 2031 (each such five-year period, a “Series D Interest Reset Period”), at a rate per annum equal to the Five-Year Treasury Rate (as defined in the Junior Subordinated Notes Indenture) as of two business days prior to the beginning of the applicable Series D Interest Reset Period plus a spread of 2.223%, with such rate per annum to be reset on each five-year anniversary of April 1, 2031; provided that the interest rate during any Series D Interest Reset Period will not reset below 5.950% per annum (which is the same interest rate as in effect from and including the original issue date to, but excluding, April 1, 2031). So long as no event of default (as defined in the prospectus supplement relating to the offering of the Series D Notes) with respect to the Series D Notes has occurred and is continuing, CenterPoint Energy may, at its option, defer interest payments on the Series D Notes, from time to time, for one or more deferral periods of up to 20 consecutive semiannual interest payment periods, except that no such optional deferral period (as defined in the prospectus supplement relating to the offering of the Series D Notes) may extend beyond the final maturity date of the Series D Notes or end on a day other than the day immediately preceding an interest payment date.</w:t>
      </w:r>
    </w:p>
    <w:p>
      <w:pPr>
        <w:spacing w:after="0" w:line="16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During any optional deferral period, CenterPoint Energy (and its majority-owned subsidiaries, as applicable) will not (subject to certain exceptions as described in the Junior Subordinated Notes Indenture): (i) declare or pay any dividends or distributions on any of CenterPoint Energy’s capital stock; (ii) redeem, purchase, acquire or make a liquidation payment with respect to any of CenterPoint Energy’s capital stock; (iii) pay any principal, interest (to the extent such interest is deferrable) or premium on, or repay, repurchase or redeem any of CenterPoint Energy’s indebtedness that ranks equally with or junior to the Series D Notes in right of payment (including debt securities of other series, such as the other series of the Junior Subordinated Notes outstanding); or (iv) make any payments with respect to any guarantees by CenterPoint Energy of any indebtedness if such guarantees rank equally with or junior to the Series D Notes in right of payment.</w:t>
      </w:r>
    </w:p>
    <w:p>
      <w:pPr>
        <w:spacing w:after="0" w:line="164"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Series D Notes are CenterPoint Energy’s unsecured obligations and rank junior and subordinate in right of payment to the prior payment in full of CenterPoint Energy’s existing and future Senior Indebtedness (as defined in the Junior Subordinated Notes Indenture).</w:t>
      </w:r>
    </w:p>
    <w:p>
      <w:pPr>
        <w:spacing w:after="0" w:line="143" w:lineRule="exact"/>
        <w:rPr>
          <w:sz w:val="20"/>
          <w:szCs w:val="20"/>
          <w:color w:val="auto"/>
        </w:rPr>
      </w:pPr>
    </w:p>
    <w:p>
      <w:pPr>
        <w:ind w:right="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2026 Convertible Senior Notes. </w:t>
      </w:r>
      <w:r>
        <w:rPr>
          <w:rFonts w:ascii="Times New Roman" w:cs="Times New Roman" w:eastAsia="Times New Roman" w:hAnsi="Times New Roman"/>
          <w:sz w:val="14"/>
          <w:szCs w:val="14"/>
          <w:color w:val="auto"/>
        </w:rPr>
        <w:t>Interest on the 2026 Convertible Notes is payable semiannually in arrears on February 15 and August 15 of each year, beginning on February 15, 2024. The 2026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Convertible Notes will mature on August 15, 2026, unless earlier converted or repurchased by CenterPoint Energy in accordance with their terms.</w:t>
      </w:r>
    </w:p>
    <w:p>
      <w:pPr>
        <w:spacing w:after="0" w:line="143"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Prior to the close of business on the business day immediately preceding May 15, 2026, the 2026 Convertible Notes are convertible only under certain conditions. On or after May 15, 2026 until the close of business on the second scheduled trading day immediately preceding the maturity date, holders of the 2026 Convertible Notes may convert all or any portion of their 2026 Convertible Notes at any time at the conversion rate then in effect, irrespective of the conditions. CenterPoint Energy may not redeem the 2026 Convertible Notes prior to the maturity date.</w:t>
      </w:r>
    </w:p>
    <w:p>
      <w:pPr>
        <w:spacing w:after="0" w:line="15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Upon conversion of the 2026 Convertible Notes, CenterPoint Energy will pay cash up to the aggregate principal amount of the 2026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2026 Convertible Notes being converted. The conversion rate for the 2026 Convertible Notes is initially 27.1278 shares of Common Stock per $1,000 principal amount of 2026 Convertible Notes (equivalent to an initial conversion price of approximately $36.86 per share of Common Stock). The initial conversion price of the 2026 Convertible Notes represents a premium of approximately 25.0% over the last reported sale price of the Common Stock on the NYSE on August 1, 2023. Initially, a maximum of 33,909,700 shares of Common Stock may be issued upon conversion of the 2026 Convertible Notes based on the initial maximum conversion rate of 33.9097 shares of Common Stock per $1,000 principal amount of 2026 Convertible Notes. The conversion rate will be subject to adjustment in some events (as described in the 2026 Convertible Notes Indenture) but will not be adjusted for any accrued and unpaid interest.</w:t>
      </w:r>
    </w:p>
    <w:p>
      <w:pPr>
        <w:spacing w:after="0" w:line="168" w:lineRule="exact"/>
        <w:rPr>
          <w:sz w:val="20"/>
          <w:szCs w:val="20"/>
          <w:color w:val="auto"/>
        </w:rPr>
      </w:pPr>
    </w:p>
    <w:p>
      <w:pPr>
        <w:ind w:right="2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2028 Convertible Senior Notes. </w:t>
      </w:r>
      <w:r>
        <w:rPr>
          <w:rFonts w:ascii="Times New Roman" w:cs="Times New Roman" w:eastAsia="Times New Roman" w:hAnsi="Times New Roman"/>
          <w:sz w:val="14"/>
          <w:szCs w:val="14"/>
          <w:color w:val="auto"/>
        </w:rPr>
        <w:t>Interest on the 2028 Convertible Notes is payable semiannually in arrears on February 1 and August 1 of each year, beginning on February 1, 2026. The 2028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Convertible Notes will mature on August 1, 2028, unless earlier converted or repurchased by CenterPoint Energy in accordance with their terms.</w:t>
      </w:r>
    </w:p>
    <w:p>
      <w:pPr>
        <w:spacing w:after="0" w:line="143"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Prior to the close of business on the business day immediately preceding May 1, 2028, the 2028 Convertible Notes are convertible only under certain conditions. On or after May 1, 2028 until the close of business on the second scheduled trading day immediately preceding the maturity date, holders of the 2028 Convertible Notes may convert all or any portion of their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color w:val="auto"/>
        </w:rPr>
        <w:t>2028 Convertible Notes at any time at the conversion rate then in effect, irrespective of the conditions. CenterPoint Energy may not redeem the 2028 Convertible Notes prior to the maturity date.</w:t>
      </w:r>
    </w:p>
    <w:p>
      <w:pPr>
        <w:spacing w:after="0" w:line="200"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Upon conversion of the 2028 Convertible Notes, CenterPoint Energy will pay cash up to the aggregate principal amount of the 2028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2028 Convertible Notes being converted. The conversion rate for the 2028 Convertible Notes is initially 21.4477 shares of Common Stock per $1,000 principal amount of 2028 Convertible Notes (equivalent to an initial conversion price of approximately $46.63 per share of Common Stock). The initial conversion price of the 2028 Convertible Notes represents a premium of approximately 25.0% over the last reported sale price of the Common Stock on the NYSE on July 28, 2025. Initially, a maximum of 26,809,600 shares of Common Stock may be issued upon conversion of the 2028 Convertible Notes based on the initial maximum conversion rate of 26.8096 shares of Common Stock per $1,000 principal amount of 2028 Convertible Notes. The conversion rate will be subject to adjustment in some events (as described in the 2028 Convertible Notes Indenture) but will not be adjusted for any accrued and unpaid interest.</w:t>
      </w:r>
    </w:p>
    <w:p>
      <w:pPr>
        <w:spacing w:after="0" w:line="170" w:lineRule="exact"/>
        <w:rPr>
          <w:sz w:val="20"/>
          <w:szCs w:val="20"/>
          <w:color w:val="auto"/>
        </w:rPr>
      </w:pPr>
    </w:p>
    <w:p>
      <w:pPr>
        <w:jc w:val="both"/>
        <w:ind w:right="120" w:firstLine="255"/>
        <w:spacing w:after="0" w:line="264" w:lineRule="auto"/>
        <w:rPr>
          <w:sz w:val="20"/>
          <w:szCs w:val="20"/>
          <w:color w:val="auto"/>
        </w:rPr>
      </w:pPr>
      <w:r>
        <w:rPr>
          <w:rFonts w:ascii="Times New Roman" w:cs="Times New Roman" w:eastAsia="Times New Roman" w:hAnsi="Times New Roman"/>
          <w:sz w:val="14"/>
          <w:szCs w:val="14"/>
          <w:color w:val="auto"/>
        </w:rPr>
        <w:t>In addition, following certain corporate events that occur prior to the maturity date of the convertible notes, CenterPoint Energy will, in certain circumstances, increase the conversion rate for a holder of convertible notes who elects to convert its convertible notes in connection with such a corporate event. If CenterPoint Energy undergoes a fundamental change (as defined in the respective convertible notes indenture), holders of the convertible notes may require CenterPoint Energy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spacing w:after="0" w:line="16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The convertible notes are senior unsecured obligations of CenterPoint Energy and rank senior in right of payment to any of CenterPoint Energy’s indebtedness that is expressly subordinated in right of payment to the convertible notes; equal in right of payment to any of CenterPoint Energy’s unsecured indebtedness that is not so subordinated; effectively junior in right of payment to any of CenterPoint Energy’s secured indebtedness it may incur in the future to the extent of the value of the assets securing such future secured indebtedness; and structurally junior to all indebtedness and other liabilities (including trade payables but excluding intercompany obligations and liabilities of a type not required to be reflected on a balance sheet of such subsidiaries in accordance with GAAP) of CenterPoint Energy’s subsidiaries.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Debt Repurchases and Repayments. </w:t>
      </w:r>
      <w:r>
        <w:rPr>
          <w:rFonts w:ascii="Times New Roman" w:cs="Times New Roman" w:eastAsia="Times New Roman" w:hAnsi="Times New Roman"/>
          <w:sz w:val="14"/>
          <w:szCs w:val="14"/>
          <w:color w:val="auto"/>
        </w:rPr>
        <w:t>During 2025, the following debt instruments were repurchased prior to maturity or repaid at maturity: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Repurchase/Repayment</w:t>
            </w:r>
          </w:p>
        </w:tc>
        <w:tc>
          <w:tcPr>
            <w:tcW w:w="25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Debt Instrument</w:t>
            </w:r>
          </w:p>
        </w:tc>
        <w:tc>
          <w:tcPr>
            <w:tcW w:w="160" w:type="dxa"/>
            <w:vAlign w:val="bottom"/>
          </w:tcPr>
          <w:p>
            <w:pPr>
              <w:spacing w:after="0"/>
              <w:rPr>
                <w:sz w:val="12"/>
                <w:szCs w:val="12"/>
                <w:color w:val="auto"/>
              </w:rPr>
            </w:pPr>
          </w:p>
        </w:tc>
        <w:tc>
          <w:tcPr>
            <w:tcW w:w="13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80" w:type="dxa"/>
            <w:vAlign w:val="bottom"/>
          </w:tcPr>
          <w:p>
            <w:pPr>
              <w:spacing w:after="0"/>
              <w:rPr>
                <w:sz w:val="12"/>
                <w:szCs w:val="12"/>
                <w:color w:val="auto"/>
              </w:rPr>
            </w:pPr>
          </w:p>
        </w:tc>
        <w:tc>
          <w:tcPr>
            <w:tcW w:w="1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0" w:type="dxa"/>
            <w:vAlign w:val="bottom"/>
          </w:tcPr>
          <w:p>
            <w:pPr>
              <w:spacing w:after="0"/>
              <w:rPr>
                <w:sz w:val="1"/>
                <w:szCs w:val="1"/>
                <w:color w:val="auto"/>
              </w:rPr>
            </w:pPr>
          </w:p>
        </w:tc>
      </w:tr>
      <w:tr>
        <w:trPr>
          <w:trHeight w:val="169"/>
        </w:trPr>
        <w:tc>
          <w:tcPr>
            <w:tcW w:w="2240" w:type="dxa"/>
            <w:vAlign w:val="bottom"/>
            <w:gridSpan w:val="2"/>
            <w:vMerge w:val="continue"/>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 (1)</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March 2025</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9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(2)</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April 2025</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7"/>
              </w:rPr>
              <w:t>4.10% - 5.40%</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2033 - 2047</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 (3)</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June 2025</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9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0" w:type="dxa"/>
            <w:vAlign w:val="bottom"/>
          </w:tcPr>
          <w:p>
            <w:pPr>
              <w:spacing w:after="0"/>
              <w:rPr>
                <w:sz w:val="1"/>
                <w:szCs w:val="1"/>
                <w:color w:val="auto"/>
              </w:rPr>
            </w:pPr>
          </w:p>
        </w:tc>
      </w:tr>
      <w:tr>
        <w:trPr>
          <w:trHeight w:val="158"/>
        </w:trPr>
        <w:tc>
          <w:tcPr>
            <w:tcW w:w="2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CERC</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 (4)</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October 2025</w:t>
            </w:r>
          </w:p>
        </w:tc>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General Mortgage Bonds</w:t>
            </w: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90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7"/>
              </w:rPr>
              <w:t>4.25% - 4.50%</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8"/>
              </w:rPr>
              <w:t>2044 - 2049</w:t>
            </w:r>
          </w:p>
        </w:tc>
        <w:tc>
          <w:tcPr>
            <w:tcW w:w="0" w:type="dxa"/>
            <w:vAlign w:val="bottom"/>
          </w:tcPr>
          <w:p>
            <w:pPr>
              <w:spacing w:after="0"/>
              <w:rPr>
                <w:sz w:val="1"/>
                <w:szCs w:val="1"/>
                <w:color w:val="auto"/>
              </w:rPr>
            </w:pPr>
          </w:p>
        </w:tc>
      </w:tr>
      <w:tr>
        <w:trPr>
          <w:trHeight w:val="160"/>
        </w:trPr>
        <w:tc>
          <w:tcPr>
            <w:tcW w:w="2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Houston Electric</w:t>
            </w:r>
          </w:p>
        </w:tc>
        <w:tc>
          <w:tcPr>
            <w:tcW w:w="1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(2)</w:t>
            </w:r>
          </w:p>
        </w:tc>
        <w:tc>
          <w:tcPr>
            <w:tcW w:w="1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April 2025</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3.70% - 5.40%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2026 - 2049</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(5)</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July 2025</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90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0" w:type="dxa"/>
            <w:vAlign w:val="bottom"/>
          </w:tcPr>
          <w:p>
            <w:pPr>
              <w:spacing w:after="0"/>
              <w:rPr>
                <w:sz w:val="1"/>
                <w:szCs w:val="1"/>
                <w:color w:val="auto"/>
              </w:rPr>
            </w:pPr>
          </w:p>
        </w:tc>
      </w:tr>
      <w:tr>
        <w:trPr>
          <w:trHeight w:val="1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(4)</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October 2025</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2.65% - 3.70%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2030 - 2049</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CenterPoint Energy</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1,673</w:t>
            </w: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right="280" w:hanging="260"/>
        <w:spacing w:after="0" w:line="263" w:lineRule="auto"/>
        <w:tabs>
          <w:tab w:leader="none" w:pos="465"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2025, CERC, through its wholly-owned subsidiary Indiana Gas, repurchased $10 million aggregate principal amount of Indiana Gas’s 6.36% Medium Term Notes, Series F, due 2028 at a redemption price equal to 104.8% of the principal amount of the notes to be redeemed plus accrued and unpaid interest thereon to, but excluding, the redemption date.</w:t>
      </w:r>
    </w:p>
    <w:p>
      <w:pPr>
        <w:ind w:left="520" w:right="220" w:hanging="260"/>
        <w:spacing w:after="0" w:line="266" w:lineRule="auto"/>
        <w:tabs>
          <w:tab w:leader="none" w:pos="57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CenterPoint Energy commenced cash tender offers for up to (i) $600 million aggregate purchase price of certain of CenterPoint Energy’s outstanding senior notes, ranging from 2.65% to 5.40%, due 2026 to 2049, and (ii)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67" w:name="page168"/>
    <w:bookmarkEnd w:id="167"/>
    <w:p>
      <w:pPr>
        <w:ind w:left="520" w:right="60"/>
        <w:spacing w:after="0" w:line="257" w:lineRule="auto"/>
        <w:rPr>
          <w:sz w:val="20"/>
          <w:szCs w:val="20"/>
          <w:color w:val="auto"/>
        </w:rPr>
      </w:pPr>
      <w:r>
        <w:rPr>
          <w:rFonts w:ascii="Times New Roman" w:cs="Times New Roman" w:eastAsia="Times New Roman" w:hAnsi="Times New Roman"/>
          <w:sz w:val="14"/>
          <w:szCs w:val="14"/>
          <w:color w:val="auto"/>
        </w:rPr>
        <w:t>$400 million aggregate purchase price of certain of CERC’s senior notes, ranging from 4.10% to 5.40%, due 2028 to 2047. In May 2025, CenterPoint Energy accepted for purchase and paid approximately $1 billion in connection with the settlement of the tender offers. Upon completion of the tender offers, CenterPoint Energy cancelled approximately $634 million aggregate principal amount of its senior notes and CERC Corp. cancelled approximately $415 million aggregate principal amount of its senior notes pursuant to the terms of the respective indentures governing such notes. CenterPoint Energy and CERC recognized a gain on early extinguishment of debt of approximately $36 million and $9 million, respectively, which is included in Interest expense and other finance charges on their Statements of Consolidated Income.</w:t>
      </w:r>
    </w:p>
    <w:p>
      <w:pPr>
        <w:spacing w:after="0" w:line="1" w:lineRule="exact"/>
        <w:rPr>
          <w:sz w:val="20"/>
          <w:szCs w:val="20"/>
          <w:color w:val="auto"/>
        </w:rPr>
      </w:pPr>
    </w:p>
    <w:p>
      <w:pPr>
        <w:ind w:left="520" w:right="80" w:hanging="260"/>
        <w:spacing w:after="0" w:line="253" w:lineRule="auto"/>
        <w:tabs>
          <w:tab w:leader="none" w:pos="46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2025, CERC, through its wholly-owned subsidiary Indiana Gas, repaid at maturity $10 million aggregate principal amount of Indiana Gas’s 6.53% Medium Term Notes, Series E due 2025 at a redemption price equal to 100% of the principal amount to be redeemed plus accrued and unpaid interest thereon.</w:t>
      </w:r>
    </w:p>
    <w:p>
      <w:pPr>
        <w:ind w:left="520" w:right="20" w:hanging="260"/>
        <w:spacing w:after="0" w:line="253" w:lineRule="auto"/>
        <w:tabs>
          <w:tab w:leader="none" w:pos="46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2025, CenterPoint Energy commenced cash tender offers for up to (i) $300 million aggregate purchase price of certain of CenterPoint Energy’s outstanding senior notes, ranging from 2.65% to 3.70%, due 2030 to 2049, and (ii) $200 million aggregate purchase price of certain of Houston Electric’s general mortgage bonds, ranging from 4.25% to 4.50%, due 2044 to 2049. In October 2025, CenterPoint Energy accepted for purchase and paid approximately $504 million in connection with the settlement of the tender offers. Upon completion of the tender offers, CenterPoint Energy cancelled approximately $329 million aggregate principal amount of its senior notes and Houston Electric cancelled approximately $234 million aggregate principal amount of its general mortgage bonds pursuant to the terms of the respective indentures governing such securities. CenterPoint Energy and Houston Electric recognized a gain on early extinguishment of debt of approximately $25 million and $24 million, respectively, which is included in Interest expense and other finance charges on their Statements of Consolidated Income, except to the extent it was deferred as outlined in the table below.</w:t>
      </w:r>
    </w:p>
    <w:p>
      <w:pPr>
        <w:ind w:left="520" w:right="160" w:hanging="260"/>
        <w:spacing w:after="0" w:line="266" w:lineRule="auto"/>
        <w:tabs>
          <w:tab w:leader="none" w:pos="46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2025, CenterPoint Energy, through its wholly-owned subsidiary SIGECO, repaid at maturity $41 million aggregate principal amount of SIGECO’s outstanding 3.45% first mortgage bonds due 2025 at a redemption price equal to 100% of the principal amount of the first mortgage bonds to be redeemed plus accrued and unpaid interest thereon.</w:t>
      </w:r>
    </w:p>
    <w:p>
      <w:pPr>
        <w:spacing w:after="0" w:line="159"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Houston Electric and CERC recorded the following gain (loss) on early extinguishment of debt, including make-whole premiums and recognition of deferred debt related costs, in Interest expense and other finance charges on their respective Statements of Consolidated Income unless specified otherwise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27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100" w:type="dxa"/>
            <w:vAlign w:val="bottom"/>
            <w:tcBorders>
              <w:bottom w:val="single" w:sz="8" w:color="auto"/>
            </w:tcBorders>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57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center"/>
              <w:ind w:right="57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100" w:type="dxa"/>
            <w:vAlign w:val="bottom"/>
          </w:tcPr>
          <w:p>
            <w:pPr>
              <w:spacing w:after="0"/>
              <w:rPr>
                <w:sz w:val="13"/>
                <w:szCs w:val="13"/>
                <w:color w:val="auto"/>
              </w:rPr>
            </w:pP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100" w:type="dxa"/>
            <w:vAlign w:val="bottom"/>
            <w:shd w:val="clear" w:color="auto" w:fill="CCEEFF"/>
          </w:tcPr>
          <w:p>
            <w:pPr>
              <w:jc w:val="center"/>
              <w:ind w:left="796"/>
              <w:spacing w:after="0"/>
              <w:rPr>
                <w:sz w:val="20"/>
                <w:szCs w:val="20"/>
                <w:color w:val="auto"/>
              </w:rPr>
            </w:pPr>
            <w:r>
              <w:rPr>
                <w:rFonts w:ascii="Times New Roman" w:cs="Times New Roman" w:eastAsia="Times New Roman" w:hAnsi="Times New Roman"/>
                <w:sz w:val="13"/>
                <w:szCs w:val="13"/>
                <w:color w:val="auto"/>
                <w:w w:val="92"/>
              </w:rPr>
              <w:t>(11)</w:t>
            </w:r>
          </w:p>
        </w:tc>
      </w:tr>
      <w:tr>
        <w:trPr>
          <w:trHeight w:val="168"/>
        </w:trPr>
        <w:tc>
          <w:tcPr>
            <w:tcW w:w="6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Electric (2)</w:t>
            </w: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300" w:type="dxa"/>
            <w:vAlign w:val="bottom"/>
          </w:tcPr>
          <w:p>
            <w:pPr>
              <w:spacing w:after="0"/>
              <w:rPr>
                <w:sz w:val="14"/>
                <w:szCs w:val="14"/>
                <w:color w:val="auto"/>
              </w:rPr>
            </w:pPr>
          </w:p>
        </w:tc>
        <w:tc>
          <w:tcPr>
            <w:tcW w:w="16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w:t>
            </w:r>
          </w:p>
        </w:tc>
      </w:tr>
    </w:tbl>
    <w:p>
      <w:pPr>
        <w:spacing w:after="0" w:line="251" w:lineRule="exact"/>
        <w:rPr>
          <w:sz w:val="20"/>
          <w:szCs w:val="20"/>
          <w:color w:val="auto"/>
        </w:rPr>
      </w:pPr>
    </w:p>
    <w:p>
      <w:pPr>
        <w:ind w:left="460" w:hanging="200"/>
        <w:spacing w:after="0"/>
        <w:tabs>
          <w:tab w:leader="none" w:pos="4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on early extinguishment of debt at CenterPoint Energy during 2023 was recorded as a regulatory asset.</w:t>
      </w:r>
    </w:p>
    <w:p>
      <w:pPr>
        <w:spacing w:after="0" w:line="23"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on early extinguishment of debt at Houston Electric during 2025 was recorded as a reduction within Regulatory assets on its Consolidated Balance Sheet.</w:t>
      </w:r>
    </w:p>
    <w:p>
      <w:pPr>
        <w:spacing w:after="0" w:line="18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Securitization Bonds. </w:t>
      </w:r>
      <w:r>
        <w:rPr>
          <w:rFonts w:ascii="Times New Roman" w:cs="Times New Roman" w:eastAsia="Times New Roman" w:hAnsi="Times New Roman"/>
          <w:sz w:val="14"/>
          <w:szCs w:val="14"/>
          <w:color w:val="auto"/>
        </w:rPr>
        <w:t>As of December 31, 2025, CenterPoint Energy, Houston Electric and SIGECO had VIEs including the Bond Companies and the SIGECO Securitization Subsidiary,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consolidated. The consolidated VIEs are wholly-owned, bankruptcy-remote, special purpose entities that were formed solely for the purpose of securitizing transition property or system restoration property or facilitating the securitization financing of qualified costs. The Securitization Bonds issued by Transition Bond Company IV and Restoration Bond Company II are payable only through the imposition and collection of transition charges or system restoration charges, as defined in the Texas Public Utility Regulatory Act, which are irrevocable, non-bypassable charges to provide recovery of authorized qualified costs. The SIGECO Securitization Bonds are payable only through the imposition of securitization charges payable by SIGECO’s retail electric customers, which are non-bypassable charges to provide recovery of the qualified costs of SIGECO authorized by the IURC order. CenterPoint Energy, Houston Electric and SIGECO have no payment obligations in respect of the Securitization Bonds issued by the Bond Companies or the SIGECO Securitization Subsidiary other than to remit the applicable transition, system restoration or securitization charges they collect as set forth in servicing agreements among Houston Electric, the Bond Companies, SIGECO, the SIGECO Securitization Subsidiary and other parties, as applicable. Each special purpose entity is the sole owner of the right to impose, collect and receive the applicable transition, system restoration and securitization charges securing the bonds issued by that entity. Creditors of CenterPoint Energy, Houston Electric and SIGECO have no recourse to any assets or revenues of the Bond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8" w:name="page169"/>
    <w:bookmarkEnd w:id="168"/>
    <w:p>
      <w:pPr>
        <w:ind w:right="140"/>
        <w:spacing w:after="0" w:line="287" w:lineRule="auto"/>
        <w:rPr>
          <w:sz w:val="20"/>
          <w:szCs w:val="20"/>
          <w:color w:val="auto"/>
        </w:rPr>
      </w:pPr>
      <w:r>
        <w:rPr>
          <w:rFonts w:ascii="Times New Roman" w:cs="Times New Roman" w:eastAsia="Times New Roman" w:hAnsi="Times New Roman"/>
          <w:sz w:val="14"/>
          <w:szCs w:val="14"/>
          <w:color w:val="auto"/>
        </w:rPr>
        <w:t>Companies (including the transition, system restoration or securitization charges) or the SIGECO Securitization Subsidiary, as applicable, and the bondholders have no recourse to the general credit of CenterPoint Energy, Houston Electric or SIGECO.</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Credit Facilities. </w:t>
      </w:r>
      <w:r>
        <w:rPr>
          <w:rFonts w:ascii="Times New Roman" w:cs="Times New Roman" w:eastAsia="Times New Roman" w:hAnsi="Times New Roman"/>
          <w:sz w:val="14"/>
          <w:szCs w:val="14"/>
          <w:color w:val="auto"/>
        </w:rPr>
        <w:t>The Registrants had the following revolving credit facilities as of December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Execution</w:t>
            </w:r>
          </w:p>
        </w:tc>
        <w:tc>
          <w:tcPr>
            <w:tcW w:w="200" w:type="dxa"/>
            <w:vAlign w:val="bottom"/>
          </w:tcPr>
          <w:p>
            <w:pPr>
              <w:spacing w:after="0"/>
              <w:rPr>
                <w:sz w:val="11"/>
                <w:szCs w:val="11"/>
                <w:color w:val="auto"/>
              </w:rPr>
            </w:pPr>
          </w:p>
        </w:tc>
        <w:tc>
          <w:tcPr>
            <w:tcW w:w="1100" w:type="dxa"/>
            <w:vAlign w:val="bottom"/>
            <w:vMerge w:val="restart"/>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Size of</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Draw Rate of SOFR</w:t>
            </w: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Financial Covenant Limit</w:t>
            </w:r>
          </w:p>
        </w:tc>
        <w:tc>
          <w:tcPr>
            <w:tcW w:w="300" w:type="dxa"/>
            <w:vAlign w:val="bottom"/>
          </w:tcPr>
          <w:p>
            <w:pPr>
              <w:spacing w:after="0"/>
              <w:rPr>
                <w:sz w:val="11"/>
                <w:szCs w:val="11"/>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Debt for Borrowed Money to</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0" w:type="dxa"/>
            <w:vAlign w:val="bottom"/>
          </w:tcPr>
          <w:p>
            <w:pPr>
              <w:spacing w:after="0"/>
              <w:rPr>
                <w:sz w:val="1"/>
                <w:szCs w:val="1"/>
                <w:color w:val="auto"/>
              </w:rPr>
            </w:pPr>
          </w:p>
        </w:tc>
      </w:tr>
      <w:tr>
        <w:trPr>
          <w:trHeight w:val="117"/>
        </w:trPr>
        <w:tc>
          <w:tcPr>
            <w:tcW w:w="18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1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3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on Debt for Borrowed</w:t>
            </w:r>
          </w:p>
        </w:tc>
        <w:tc>
          <w:tcPr>
            <w:tcW w:w="300" w:type="dxa"/>
            <w:vAlign w:val="bottom"/>
          </w:tcPr>
          <w:p>
            <w:pPr>
              <w:spacing w:after="0"/>
              <w:rPr>
                <w:sz w:val="10"/>
                <w:szCs w:val="10"/>
                <w:color w:val="auto"/>
              </w:rPr>
            </w:pPr>
          </w:p>
        </w:tc>
        <w:tc>
          <w:tcPr>
            <w:tcW w:w="18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820" w:type="dxa"/>
            <w:vAlign w:val="bottom"/>
            <w:gridSpan w:val="2"/>
            <w:vMerge w:val="continue"/>
          </w:tcPr>
          <w:p>
            <w:pPr>
              <w:spacing w:after="0"/>
              <w:rPr>
                <w:sz w:val="13"/>
                <w:szCs w:val="13"/>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200" w:type="dxa"/>
            <w:vAlign w:val="bottom"/>
          </w:tcPr>
          <w:p>
            <w:pPr>
              <w:spacing w:after="0"/>
              <w:rPr>
                <w:sz w:val="13"/>
                <w:szCs w:val="13"/>
                <w:color w:val="auto"/>
              </w:rPr>
            </w:pPr>
          </w:p>
        </w:tc>
        <w:tc>
          <w:tcPr>
            <w:tcW w:w="110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00" w:type="dxa"/>
            <w:vAlign w:val="bottom"/>
          </w:tcPr>
          <w:p>
            <w:pPr>
              <w:spacing w:after="0"/>
              <w:rPr>
                <w:sz w:val="13"/>
                <w:szCs w:val="13"/>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plus (1)</w:t>
            </w: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Money to Capital Ratio</w:t>
            </w:r>
          </w:p>
        </w:tc>
        <w:tc>
          <w:tcPr>
            <w:tcW w:w="3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Ratio as of December 31, 2025 (2)</w:t>
            </w: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(5)</w:t>
            </w:r>
          </w:p>
        </w:tc>
        <w:tc>
          <w:tcPr>
            <w:tcW w:w="0" w:type="dxa"/>
            <w:vAlign w:val="bottom"/>
          </w:tcPr>
          <w:p>
            <w:pPr>
              <w:spacing w:after="0"/>
              <w:rPr>
                <w:sz w:val="1"/>
                <w:szCs w:val="1"/>
                <w:color w:val="auto"/>
              </w:rPr>
            </w:pPr>
          </w:p>
        </w:tc>
      </w:tr>
      <w:tr>
        <w:trPr>
          <w:trHeight w:val="150"/>
        </w:trPr>
        <w:tc>
          <w:tcPr>
            <w:tcW w:w="1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December 6, 2022</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2,400</w:t>
            </w:r>
          </w:p>
        </w:tc>
        <w:tc>
          <w:tcPr>
            <w:tcW w:w="13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1.500%</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65%</w:t>
            </w:r>
          </w:p>
        </w:tc>
        <w:tc>
          <w:tcPr>
            <w:tcW w:w="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93"/>
              </w:rPr>
              <w:t>(3)</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59.6%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December 6, 2028</w:t>
            </w:r>
          </w:p>
        </w:tc>
        <w:tc>
          <w:tcPr>
            <w:tcW w:w="0" w:type="dxa"/>
            <w:vAlign w:val="bottom"/>
          </w:tcPr>
          <w:p>
            <w:pPr>
              <w:spacing w:after="0"/>
              <w:rPr>
                <w:sz w:val="1"/>
                <w:szCs w:val="1"/>
                <w:color w:val="auto"/>
              </w:rPr>
            </w:pPr>
          </w:p>
        </w:tc>
      </w:tr>
      <w:tr>
        <w:trPr>
          <w:trHeight w:val="15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CenterPoint Energy (4)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December 6, 2022</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132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65%</w:t>
            </w:r>
          </w:p>
        </w:tc>
        <w:tc>
          <w:tcPr>
            <w:tcW w:w="3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45.0%</w:t>
            </w: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6, 2028</w:t>
            </w:r>
          </w:p>
        </w:tc>
        <w:tc>
          <w:tcPr>
            <w:tcW w:w="0" w:type="dxa"/>
            <w:vAlign w:val="bottom"/>
          </w:tcPr>
          <w:p>
            <w:pPr>
              <w:spacing w:after="0"/>
              <w:rPr>
                <w:sz w:val="1"/>
                <w:szCs w:val="1"/>
                <w:color w:val="auto"/>
              </w:rPr>
            </w:pPr>
          </w:p>
        </w:tc>
      </w:tr>
      <w:tr>
        <w:trPr>
          <w:trHeight w:val="165"/>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Houston Electric</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December 6, 2022</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13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1.250%</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67.5%</w:t>
            </w:r>
          </w:p>
        </w:tc>
        <w:tc>
          <w:tcPr>
            <w:tcW w:w="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93"/>
              </w:rPr>
              <w:t>(3)</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December 6, 2028</w:t>
            </w:r>
          </w:p>
        </w:tc>
        <w:tc>
          <w:tcPr>
            <w:tcW w:w="0" w:type="dxa"/>
            <w:vAlign w:val="bottom"/>
          </w:tcPr>
          <w:p>
            <w:pPr>
              <w:spacing w:after="0"/>
              <w:rPr>
                <w:sz w:val="1"/>
                <w:szCs w:val="1"/>
                <w:color w:val="auto"/>
              </w:rPr>
            </w:pPr>
          </w:p>
        </w:tc>
      </w:tr>
      <w:tr>
        <w:trPr>
          <w:trHeight w:val="153"/>
        </w:trPr>
        <w:tc>
          <w:tcPr>
            <w:tcW w:w="1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16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December 6, 2022</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1,050</w:t>
            </w:r>
          </w:p>
        </w:tc>
        <w:tc>
          <w:tcPr>
            <w:tcW w:w="132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65%</w:t>
            </w:r>
          </w:p>
        </w:tc>
        <w:tc>
          <w:tcPr>
            <w:tcW w:w="30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40.8%</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December 6, 2028</w:t>
            </w:r>
          </w:p>
        </w:tc>
        <w:tc>
          <w:tcPr>
            <w:tcW w:w="0" w:type="dxa"/>
            <w:vAlign w:val="bottom"/>
          </w:tcPr>
          <w:p>
            <w:pPr>
              <w:spacing w:after="0"/>
              <w:rPr>
                <w:sz w:val="1"/>
                <w:szCs w:val="1"/>
                <w:color w:val="auto"/>
              </w:rPr>
            </w:pPr>
          </w:p>
        </w:tc>
      </w:tr>
      <w:tr>
        <w:trPr>
          <w:trHeight w:val="181"/>
        </w:trPr>
        <w:tc>
          <w:tcPr>
            <w:tcW w:w="18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credit ratings as of December 31, 2025.</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revolving credit facility agreement, excluding Securitization Bonds.</w:t>
      </w:r>
    </w:p>
    <w:p>
      <w:pPr>
        <w:spacing w:after="0" w:line="8"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ind w:left="500" w:hanging="240"/>
        <w:spacing w:after="0"/>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8" w:lineRule="exact"/>
        <w:rPr>
          <w:rFonts w:ascii="Times New Roman" w:cs="Times New Roman" w:eastAsia="Times New Roman" w:hAnsi="Times New Roman"/>
          <w:sz w:val="14"/>
          <w:szCs w:val="14"/>
          <w:color w:val="auto"/>
        </w:rPr>
      </w:pPr>
    </w:p>
    <w:p>
      <w:pPr>
        <w:ind w:left="520" w:right="240" w:hanging="260"/>
        <w:spacing w:after="0" w:line="266" w:lineRule="auto"/>
        <w:tabs>
          <w:tab w:leader="none" w:pos="51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29, 2025, CenterPoint Energy, Houston Electric, CERC and SIGECO each entered into Extension Agreements to, among other things, extend the maturity date of the lenders’ commitments under each of their respective Credit Agreements by one year, from December 6, 2027 to December 6, 2028.</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as well as the subsidiaries of CenterPoint Energy discussed above, were in compliance with all financial debt covenants as of December 31, 2025.</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periods presented, the Registrants had the following revolving credit facilities and utilization of such facilities: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8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92"/>
        </w:trPr>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10"/>
                <w:szCs w:val="10"/>
                <w:b w:val="1"/>
                <w:bCs w:val="1"/>
                <w:color w:val="auto"/>
                <w:w w:val="92"/>
              </w:rPr>
              <w:t>Size of</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b w:val="1"/>
                <w:bCs w:val="1"/>
                <w:color w:val="auto"/>
              </w:rPr>
              <w:t>Letters</w:t>
            </w:r>
          </w:p>
        </w:tc>
        <w:tc>
          <w:tcPr>
            <w:tcW w:w="180" w:type="dxa"/>
            <w:vAlign w:val="bottom"/>
          </w:tcPr>
          <w:p>
            <w:pPr>
              <w:spacing w:after="0"/>
              <w:rPr>
                <w:sz w:val="8"/>
                <w:szCs w:val="8"/>
                <w:color w:val="auto"/>
              </w:rPr>
            </w:pPr>
          </w:p>
        </w:tc>
        <w:tc>
          <w:tcPr>
            <w:tcW w:w="800" w:type="dxa"/>
            <w:vAlign w:val="bottom"/>
          </w:tcPr>
          <w:p>
            <w:pPr>
              <w:jc w:val="right"/>
              <w:ind w:right="171"/>
              <w:spacing w:after="0" w:line="92"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1020" w:type="dxa"/>
            <w:vAlign w:val="bottom"/>
          </w:tcPr>
          <w:p>
            <w:pPr>
              <w:jc w:val="center"/>
              <w:ind w:left="51"/>
              <w:spacing w:after="0" w:line="92" w:lineRule="exact"/>
              <w:rPr>
                <w:sz w:val="20"/>
                <w:szCs w:val="20"/>
                <w:color w:val="auto"/>
              </w:rPr>
            </w:pPr>
            <w:r>
              <w:rPr>
                <w:rFonts w:ascii="Times New Roman" w:cs="Times New Roman" w:eastAsia="Times New Roman" w:hAnsi="Times New Roman"/>
                <w:sz w:val="10"/>
                <w:szCs w:val="10"/>
                <w:b w:val="1"/>
                <w:bCs w:val="1"/>
                <w:color w:val="auto"/>
                <w:w w:val="95"/>
              </w:rPr>
              <w:t>Weighted Average</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10"/>
                <w:szCs w:val="10"/>
                <w:b w:val="1"/>
                <w:bCs w:val="1"/>
                <w:color w:val="auto"/>
                <w:w w:val="99"/>
              </w:rPr>
              <w:t>Size of</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b w:val="1"/>
                <w:bCs w:val="1"/>
                <w:color w:val="auto"/>
              </w:rPr>
              <w:t>Letters</w:t>
            </w:r>
          </w:p>
        </w:tc>
        <w:tc>
          <w:tcPr>
            <w:tcW w:w="180" w:type="dxa"/>
            <w:vAlign w:val="bottom"/>
          </w:tcPr>
          <w:p>
            <w:pPr>
              <w:spacing w:after="0"/>
              <w:rPr>
                <w:sz w:val="8"/>
                <w:szCs w:val="8"/>
                <w:color w:val="auto"/>
              </w:rPr>
            </w:pPr>
          </w:p>
        </w:tc>
        <w:tc>
          <w:tcPr>
            <w:tcW w:w="800" w:type="dxa"/>
            <w:vAlign w:val="bottom"/>
          </w:tcPr>
          <w:p>
            <w:pPr>
              <w:jc w:val="right"/>
              <w:ind w:right="171"/>
              <w:spacing w:after="0" w:line="92"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100" w:type="dxa"/>
            <w:vAlign w:val="bottom"/>
          </w:tcPr>
          <w:p>
            <w:pPr>
              <w:spacing w:after="0"/>
              <w:rPr>
                <w:sz w:val="8"/>
                <w:szCs w:val="8"/>
                <w:color w:val="auto"/>
              </w:rPr>
            </w:pPr>
          </w:p>
        </w:tc>
        <w:tc>
          <w:tcPr>
            <w:tcW w:w="940" w:type="dxa"/>
            <w:vAlign w:val="bottom"/>
          </w:tcPr>
          <w:p>
            <w:pPr>
              <w:jc w:val="right"/>
              <w:ind w:right="31"/>
              <w:spacing w:after="0" w:line="92" w:lineRule="exact"/>
              <w:rPr>
                <w:sz w:val="20"/>
                <w:szCs w:val="20"/>
                <w:color w:val="auto"/>
              </w:rPr>
            </w:pPr>
            <w:r>
              <w:rPr>
                <w:rFonts w:ascii="Times New Roman" w:cs="Times New Roman" w:eastAsia="Times New Roman" w:hAnsi="Times New Roman"/>
                <w:sz w:val="10"/>
                <w:szCs w:val="10"/>
                <w:b w:val="1"/>
                <w:bCs w:val="1"/>
                <w:color w:val="auto"/>
              </w:rPr>
              <w:t>Weighted Average</w:t>
            </w:r>
          </w:p>
        </w:tc>
      </w:tr>
      <w:tr>
        <w:trPr>
          <w:trHeight w:val="142"/>
        </w:trPr>
        <w:tc>
          <w:tcPr>
            <w:tcW w:w="2060" w:type="dxa"/>
            <w:vAlign w:val="bottom"/>
            <w:gridSpan w:val="2"/>
          </w:tcPr>
          <w:p>
            <w:pPr>
              <w:ind w:left="760"/>
              <w:spacing w:after="0"/>
              <w:rPr>
                <w:sz w:val="20"/>
                <w:szCs w:val="20"/>
                <w:color w:val="auto"/>
              </w:rPr>
            </w:pPr>
            <w:r>
              <w:rPr>
                <w:rFonts w:ascii="Times New Roman" w:cs="Times New Roman" w:eastAsia="Times New Roman" w:hAnsi="Times New Roman"/>
                <w:sz w:val="10"/>
                <w:szCs w:val="10"/>
                <w:b w:val="1"/>
                <w:bCs w:val="1"/>
                <w:color w:val="auto"/>
              </w:rPr>
              <w:t>Registrant</w:t>
            </w:r>
          </w:p>
        </w:tc>
        <w:tc>
          <w:tcPr>
            <w:tcW w:w="14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Facility</w:t>
            </w:r>
          </w:p>
        </w:tc>
        <w:tc>
          <w:tcPr>
            <w:tcW w:w="16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Loans</w:t>
            </w: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of Credit</w:t>
            </w:r>
          </w:p>
        </w:tc>
        <w:tc>
          <w:tcPr>
            <w:tcW w:w="180" w:type="dxa"/>
            <w:vAlign w:val="bottom"/>
          </w:tcPr>
          <w:p>
            <w:pPr>
              <w:spacing w:after="0"/>
              <w:rPr>
                <w:sz w:val="12"/>
                <w:szCs w:val="12"/>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Paper</w:t>
            </w:r>
          </w:p>
        </w:tc>
        <w:tc>
          <w:tcPr>
            <w:tcW w:w="1260" w:type="dxa"/>
            <w:vAlign w:val="bottom"/>
            <w:gridSpan w:val="3"/>
          </w:tcPr>
          <w:p>
            <w:pPr>
              <w:jc w:val="center"/>
              <w:ind w:right="91"/>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Facility</w:t>
            </w:r>
          </w:p>
        </w:tc>
        <w:tc>
          <w:tcPr>
            <w:tcW w:w="16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Loans</w:t>
            </w:r>
          </w:p>
        </w:tc>
        <w:tc>
          <w:tcPr>
            <w:tcW w:w="14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of Credit</w:t>
            </w:r>
          </w:p>
        </w:tc>
        <w:tc>
          <w:tcPr>
            <w:tcW w:w="180" w:type="dxa"/>
            <w:vAlign w:val="bottom"/>
          </w:tcPr>
          <w:p>
            <w:pPr>
              <w:spacing w:after="0"/>
              <w:rPr>
                <w:sz w:val="12"/>
                <w:szCs w:val="12"/>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Paper</w:t>
            </w:r>
          </w:p>
        </w:tc>
        <w:tc>
          <w:tcPr>
            <w:tcW w:w="100" w:type="dxa"/>
            <w:vAlign w:val="bottom"/>
          </w:tcPr>
          <w:p>
            <w:pPr>
              <w:spacing w:after="0"/>
              <w:rPr>
                <w:sz w:val="12"/>
                <w:szCs w:val="12"/>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Interest Rate</w:t>
            </w:r>
          </w:p>
        </w:tc>
      </w:tr>
      <w:tr>
        <w:trPr>
          <w:trHeight w:val="131"/>
        </w:trPr>
        <w:tc>
          <w:tcPr>
            <w:tcW w:w="1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(in millions, except weighted average interest rate)</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r>
        <w:trPr>
          <w:trHeight w:val="142"/>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CenterPoint Energy (1)</w:t>
            </w: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420</w:t>
            </w:r>
          </w:p>
        </w:tc>
        <w:tc>
          <w:tcPr>
            <w:tcW w:w="126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3.78 %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4.59 %</w:t>
            </w:r>
          </w:p>
        </w:tc>
      </w:tr>
      <w:tr>
        <w:trPr>
          <w:trHeight w:val="13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CenterPoint Energy (2)</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gridSpan w:val="3"/>
          </w:tcPr>
          <w:p>
            <w:pPr>
              <w:jc w:val="right"/>
              <w:ind w:right="191"/>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43"/>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Houston Electric</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gridSpan w:val="3"/>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3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CERC</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559</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4.62 %</w:t>
            </w:r>
          </w:p>
        </w:tc>
      </w:tr>
      <w:tr>
        <w:trPr>
          <w:trHeight w:val="158"/>
        </w:trPr>
        <w:tc>
          <w:tcPr>
            <w:tcW w:w="20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Total</w:t>
            </w: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979</w:t>
            </w: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ind w:left="520" w:right="80" w:hanging="260"/>
        <w:spacing w:after="0" w:line="263" w:lineRule="auto"/>
        <w:tabs>
          <w:tab w:leader="none" w:pos="515"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and CERC’s outstanding commercial paper generally have maturities up to 60 days and 30 days, respectively, and are backstopped by the respective issuer’s long-term revolving credit facility.</w:t>
      </w:r>
    </w:p>
    <w:p>
      <w:pPr>
        <w:ind w:left="500" w:hanging="240"/>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69" w:name="page170"/>
    <w:bookmarkEnd w:id="169"/>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Maturities. </w:t>
      </w:r>
      <w:r>
        <w:rPr>
          <w:rFonts w:ascii="Times New Roman" w:cs="Times New Roman" w:eastAsia="Times New Roman" w:hAnsi="Times New Roman"/>
          <w:sz w:val="14"/>
          <w:szCs w:val="14"/>
          <w:color w:val="auto"/>
        </w:rPr>
        <w:t>As of December 31, 2025, maturities of long-term debt through 2030, excluding the ZENS obligation and unamortized discounts, premiums and issuance costs,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22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7"/>
              </w:rPr>
              <w:t>CenterPoint</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540" w:type="dxa"/>
            <w:vAlign w:val="bottom"/>
          </w:tcPr>
          <w:p>
            <w:pPr>
              <w:spacing w:after="0"/>
              <w:rPr>
                <w:sz w:val="12"/>
                <w:szCs w:val="12"/>
                <w:color w:val="auto"/>
              </w:rPr>
            </w:pPr>
          </w:p>
        </w:tc>
        <w:tc>
          <w:tcPr>
            <w:tcW w:w="1200" w:type="dxa"/>
            <w:vAlign w:val="bottom"/>
            <w:vMerge w:val="restart"/>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CERC</w:t>
            </w:r>
          </w:p>
        </w:tc>
        <w:tc>
          <w:tcPr>
            <w:tcW w:w="240" w:type="dxa"/>
            <w:vAlign w:val="bottom"/>
          </w:tcPr>
          <w:p>
            <w:pPr>
              <w:spacing w:after="0"/>
              <w:rPr>
                <w:sz w:val="12"/>
                <w:szCs w:val="12"/>
                <w:color w:val="auto"/>
              </w:rPr>
            </w:pPr>
          </w:p>
        </w:tc>
        <w:tc>
          <w:tcPr>
            <w:tcW w:w="148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Securitization Bonds</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22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5"/>
              </w:rPr>
              <w:t>Energy (1)</w:t>
            </w: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Electric (1)</w:t>
            </w: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2026</w:t>
            </w: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2,417</w:t>
            </w:r>
          </w:p>
        </w:tc>
        <w:tc>
          <w:tcPr>
            <w:tcW w:w="3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827</w:t>
            </w:r>
          </w:p>
        </w:tc>
        <w:tc>
          <w:tcPr>
            <w:tcW w:w="5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8"/>
        </w:trPr>
        <w:tc>
          <w:tcPr>
            <w:tcW w:w="4380" w:type="dxa"/>
            <w:vAlign w:val="bottom"/>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2027</w:t>
            </w:r>
          </w:p>
        </w:tc>
        <w:tc>
          <w:tcPr>
            <w:tcW w:w="122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363</w:t>
            </w:r>
          </w:p>
        </w:tc>
        <w:tc>
          <w:tcPr>
            <w:tcW w:w="38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323</w:t>
            </w:r>
          </w:p>
        </w:tc>
        <w:tc>
          <w:tcPr>
            <w:tcW w:w="54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2028</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3,980</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524</w:t>
            </w: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1,779</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8"/>
        </w:trPr>
        <w:tc>
          <w:tcPr>
            <w:tcW w:w="4380" w:type="dxa"/>
            <w:vAlign w:val="bottom"/>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2029</w:t>
            </w:r>
          </w:p>
        </w:tc>
        <w:tc>
          <w:tcPr>
            <w:tcW w:w="122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911</w:t>
            </w:r>
          </w:p>
        </w:tc>
        <w:tc>
          <w:tcPr>
            <w:tcW w:w="38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w:t>
            </w:r>
          </w:p>
        </w:tc>
        <w:tc>
          <w:tcPr>
            <w:tcW w:w="54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2030</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1,512</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526</w:t>
            </w: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500</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These maturities include Securitization Bonds principal repayments on scheduled payment dates.</w:t>
      </w:r>
    </w:p>
    <w:p>
      <w:pPr>
        <w:spacing w:after="0" w:line="198"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Liens. </w:t>
      </w:r>
      <w:r>
        <w:rPr>
          <w:rFonts w:ascii="Times New Roman" w:cs="Times New Roman" w:eastAsia="Times New Roman" w:hAnsi="Times New Roman"/>
          <w:sz w:val="14"/>
          <w:szCs w:val="14"/>
          <w:color w:val="auto"/>
        </w:rPr>
        <w:t>As of December 31, 2025, Houston Electric’s assets were subject to liens securing approximately $9.3 billion of general mortgage bonds outstanding under the General Mortgage,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As of December 31, 2025, approximately $5.1 billion of additional general mortgage bonds could be issued on the basis of retired bonds and 70% of property additions.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165" w:lineRule="exact"/>
        <w:rPr>
          <w:sz w:val="20"/>
          <w:szCs w:val="20"/>
          <w:color w:val="auto"/>
        </w:rPr>
      </w:pPr>
    </w:p>
    <w:p>
      <w:pPr>
        <w:jc w:val="both"/>
        <w:ind w:right="300"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SIGECO had approximately $1.5 billion aggregate principal amount of first mortgage bonds outstanding. Generally, all of SIGECO’s real and tangible property is subject to the lien of SIGECO’s mortgage indenture which was amended and restated effective as of January 1, 2023. As of December 31, 2025, SIGECO was permitted to issue additional bonds under its mortgage indenture up to 70% of then currently unfunded property additions and approximately $892 million of additional first mortgage bonds could be issued on this basis.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participate in a money pool through which they can borrow or invest on a short-term basis. For additional information, see Note 18.</w:t>
      </w:r>
    </w:p>
    <w:p>
      <w:pPr>
        <w:spacing w:after="0" w:line="198" w:lineRule="exact"/>
        <w:rPr>
          <w:sz w:val="20"/>
          <w:szCs w:val="20"/>
          <w:color w:val="auto"/>
        </w:rPr>
      </w:pPr>
    </w:p>
    <w:p>
      <w:pPr>
        <w:ind w:left="280" w:hanging="275"/>
        <w:spacing w:after="0"/>
        <w:tabs>
          <w:tab w:leader="none" w:pos="28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components of the Registrants’ income tax expense (benefit) were as follows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6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income tax expense (benefit):</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income tax expense (benefit)</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48"/>
        </w:trPr>
        <w:tc>
          <w:tcPr>
            <w:tcW w:w="68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6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income tax expense</w:t>
            </w:r>
          </w:p>
        </w:tc>
        <w:tc>
          <w:tcPr>
            <w:tcW w:w="10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3"/>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income tax expense</w:t>
            </w: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6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income tax expense (benefit):</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income tax expense</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48"/>
        </w:trPr>
        <w:tc>
          <w:tcPr>
            <w:tcW w:w="68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income tax expense:</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income tax expense</w:t>
            </w:r>
          </w:p>
        </w:tc>
        <w:tc>
          <w:tcPr>
            <w:tcW w:w="10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63"/>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income tax expense</w:t>
            </w: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income tax expense (benefit):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income tax expense</w:t>
            </w: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68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 income tax expense (benefit)</w:t>
            </w: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8"/>
        </w:trPr>
        <w:tc>
          <w:tcPr>
            <w:tcW w:w="6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income tax expense (benefit)</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171" w:name="page172"/>
    <w:bookmarkEnd w:id="171"/>
    <w:p>
      <w:pPr>
        <w:ind w:firstLine="255"/>
        <w:spacing w:after="0" w:line="287" w:lineRule="auto"/>
        <w:rPr>
          <w:sz w:val="20"/>
          <w:szCs w:val="20"/>
          <w:color w:val="auto"/>
        </w:rPr>
      </w:pPr>
      <w:r>
        <w:rPr>
          <w:rFonts w:ascii="Times New Roman" w:cs="Times New Roman" w:eastAsia="Times New Roman" w:hAnsi="Times New Roman"/>
          <w:sz w:val="14"/>
          <w:szCs w:val="14"/>
          <w:color w:val="auto"/>
        </w:rPr>
        <w:t>A reconciliation of income tax expense (benefit) using the federal statutory income tax rate to the actual income tax expense and resulting effective income tax rate were as follows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59"/>
        </w:trPr>
        <w:tc>
          <w:tcPr>
            <w:tcW w:w="5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(in millions, except percentages)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 (1) (2) (3) (4)</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Federal statutory income tax rate</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 tax expense resulting from:</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State income tax benefit, net of federal income tax</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 credits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 AFUDC</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unrecognized tax benefits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Excess deferred income tax amortization</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Sale of Energy Systems Group</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58"/>
        </w:trPr>
        <w:tc>
          <w:tcPr>
            <w:tcW w:w="5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6"/>
        </w:trPr>
        <w:tc>
          <w:tcPr>
            <w:tcW w:w="5380" w:type="dxa"/>
            <w:vAlign w:val="bottom"/>
            <w:tcBorders>
              <w:bottom w:val="single" w:sz="8" w:color="CCEEFF"/>
            </w:tcBorders>
            <w:shd w:val="clear" w:color="auto" w:fill="CCEEFF"/>
          </w:tcPr>
          <w:p>
            <w:pPr>
              <w:ind w:left="400"/>
              <w:spacing w:after="0" w:line="141" w:lineRule="exact"/>
              <w:rPr>
                <w:sz w:val="20"/>
                <w:szCs w:val="20"/>
                <w:color w:val="auto"/>
              </w:rPr>
            </w:pPr>
            <w:r>
              <w:rPr>
                <w:rFonts w:ascii="Times New Roman" w:cs="Times New Roman" w:eastAsia="Times New Roman" w:hAnsi="Times New Roman"/>
                <w:sz w:val="13"/>
                <w:szCs w:val="13"/>
                <w:color w:val="auto"/>
              </w:rPr>
              <w:t>Total income tax expense and effective tax rate</w:t>
            </w: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16 %</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195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16 %</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170</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 (5)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Federal statutory income tax rate</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 tax expense resulting from:</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State income tax expense, net of federal income tax</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 credits</w:t>
            </w:r>
          </w:p>
        </w:tc>
        <w:tc>
          <w:tcPr>
            <w:tcW w:w="1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AFUDC</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Excess deferred income tax amortization</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0"/>
        </w:trPr>
        <w:tc>
          <w:tcPr>
            <w:tcW w:w="53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3"/>
        </w:trPr>
        <w:tc>
          <w:tcPr>
            <w:tcW w:w="53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income tax expense and effective tax rate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3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CERC (1) (6) (7) (8)</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statutory income tax rate</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68"/>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tax expense resulting from:</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income tax benefit, net of federal income tax</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 credits</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AFUDC</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Changes in unrecognized tax benefits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Excess deferred income tax amortization</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5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income tax expense (benefit) and effective tax rate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ind w:left="500" w:hanging="240"/>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periods presented, Minnesota contributed to the majority (greater than 50%) of the tax effect.</w:t>
      </w:r>
    </w:p>
    <w:p>
      <w:pPr>
        <w:spacing w:after="0" w:line="14" w:lineRule="exact"/>
        <w:rPr>
          <w:rFonts w:ascii="Times New Roman" w:cs="Times New Roman" w:eastAsia="Times New Roman" w:hAnsi="Times New Roman"/>
          <w:sz w:val="14"/>
          <w:szCs w:val="14"/>
          <w:color w:val="auto"/>
        </w:rPr>
      </w:pPr>
    </w:p>
    <w:p>
      <w:pPr>
        <w:ind w:left="500" w:hanging="240"/>
        <w:spacing w:after="0" w:line="237" w:lineRule="auto"/>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included in the state income tax benefit above is a $74 million net benefit from the remeasurement of deferred state income taxes, resulting from apportionment changes.</w:t>
      </w:r>
    </w:p>
    <w:p>
      <w:pPr>
        <w:ind w:left="520" w:right="240" w:hanging="260"/>
        <w:spacing w:after="0" w:line="247" w:lineRule="auto"/>
        <w:tabs>
          <w:tab w:leader="none" w:pos="51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included in the state income tax benefit above is a $47 million benefit from the remeasurement of deferred state income taxes, resulting from state apportionment changes and a Louisiana statutory rate change. In addition, 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72" w:name="page173"/>
    <w:bookmarkEnd w:id="172"/>
    <w:p>
      <w:pPr>
        <w:ind w:left="260" w:right="380"/>
        <w:spacing w:after="0" w:line="255" w:lineRule="auto"/>
        <w:rPr>
          <w:sz w:val="20"/>
          <w:szCs w:val="20"/>
          <w:color w:val="auto"/>
        </w:rPr>
      </w:pPr>
      <w:r>
        <w:rPr>
          <w:rFonts w:ascii="Times New Roman" w:cs="Times New Roman" w:eastAsia="Times New Roman" w:hAnsi="Times New Roman"/>
          <w:sz w:val="14"/>
          <w:szCs w:val="14"/>
          <w:color w:val="auto"/>
        </w:rPr>
        <w:t>$17 million valuation allowance was established against Louisiana and Mississippi NOLs, since those NOLs will not be utilized due to the Louisiana and Mississippi natural gas LDC businesses sale.</w:t>
      </w:r>
    </w:p>
    <w:p>
      <w:pPr>
        <w:spacing w:after="0" w:line="1" w:lineRule="exact"/>
        <w:rPr>
          <w:sz w:val="20"/>
          <w:szCs w:val="20"/>
          <w:color w:val="auto"/>
        </w:rPr>
      </w:pPr>
    </w:p>
    <w:p>
      <w:pPr>
        <w:ind w:left="260" w:right="300" w:hanging="260"/>
        <w:spacing w:after="0" w:line="253" w:lineRule="auto"/>
        <w:tabs>
          <w:tab w:leader="none" w:pos="25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2023, included in the state income tax benefit is a $69 million benefit for the impact of state apportionment changes that resulted in the remeasurement of state deferred taxes of the unitary group.</w:t>
      </w:r>
    </w:p>
    <w:p>
      <w:pPr>
        <w:ind w:left="240" w:hanging="240"/>
        <w:spacing w:after="0"/>
        <w:tabs>
          <w:tab w:leader="none" w:pos="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periods presented, Texas contributed to 100% of the tax effect.</w:t>
      </w:r>
    </w:p>
    <w:p>
      <w:pPr>
        <w:spacing w:after="0" w:line="8"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included in the state income tax benefit above is a $73 million net benefit from state apportionment changes, resulting in a remeasurement of state deferred taxes.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included in the state income tax benefit above is a $45 million benefit resulting from a remeasurement of state deferred taxes due to state apportionment changes and a Louisiana statutory rate change. In addition, a $17 million valuation allowance was established against Louisiana and Mississippi NOLs, since those NOLs will not be utilized due to the Louisiana and Mississippi natural gas LDC businesses sale.</w:t>
      </w:r>
    </w:p>
    <w:p>
      <w:pPr>
        <w:ind w:left="260" w:right="140" w:hanging="260"/>
        <w:spacing w:after="0" w:line="266" w:lineRule="auto"/>
        <w:tabs>
          <w:tab w:leader="none" w:pos="25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2023, included in the state income tax benefit above is a $66 million benefit for the impact of state apportionment changes that resulted in the remeasurement of state deferred taxes of the unitary group.</w:t>
      </w:r>
    </w:p>
    <w:p>
      <w:pPr>
        <w:spacing w:after="0" w:line="200" w:lineRule="exact"/>
        <w:rPr>
          <w:sz w:val="20"/>
          <w:szCs w:val="20"/>
          <w:color w:val="auto"/>
        </w:rPr>
      </w:pPr>
    </w:p>
    <w:p>
      <w:pPr>
        <w:spacing w:after="0" w:line="39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560" w:top="719" w:right="379" w:bottom="1440" w:gutter="0" w:footer="0" w:header="0"/>
        </w:sectPr>
      </w:pPr>
    </w:p>
    <w:bookmarkStart w:id="173" w:name="page174"/>
    <w:bookmarkEnd w:id="173"/>
    <w:p>
      <w:pPr>
        <w:ind w:left="260"/>
        <w:spacing w:after="0"/>
        <w:rPr>
          <w:sz w:val="20"/>
          <w:szCs w:val="20"/>
          <w:color w:val="auto"/>
        </w:rPr>
      </w:pPr>
      <w:r>
        <w:rPr>
          <w:rFonts w:ascii="Times New Roman" w:cs="Times New Roman" w:eastAsia="Times New Roman" w:hAnsi="Times New Roman"/>
          <w:sz w:val="14"/>
          <w:szCs w:val="14"/>
          <w:color w:val="auto"/>
        </w:rPr>
        <w:t>The tax effects of temporary differences that gave rise to significant portions of deferred tax assets and liabilities were as follows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Benefits and compensation</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and credit carryforwards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Valuation allowance</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0" w:type="dxa"/>
            <w:vAlign w:val="bottom"/>
          </w:tcPr>
          <w:p>
            <w:pPr>
              <w:spacing w:after="0"/>
              <w:rPr>
                <w:sz w:val="1"/>
                <w:szCs w:val="1"/>
                <w:color w:val="auto"/>
              </w:rPr>
            </w:pPr>
          </w:p>
        </w:tc>
      </w:tr>
      <w:tr>
        <w:trPr>
          <w:trHeight w:val="148"/>
        </w:trPr>
        <w:tc>
          <w:tcPr>
            <w:tcW w:w="74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tax liabilities:</w:t>
            </w: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4,384</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in ZENS and equity securities related to ZENS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6,018</w:t>
            </w:r>
          </w:p>
        </w:tc>
        <w:tc>
          <w:tcPr>
            <w:tcW w:w="0" w:type="dxa"/>
            <w:vAlign w:val="bottom"/>
          </w:tcPr>
          <w:p>
            <w:pPr>
              <w:spacing w:after="0"/>
              <w:rPr>
                <w:sz w:val="1"/>
                <w:szCs w:val="1"/>
                <w:color w:val="auto"/>
              </w:rPr>
            </w:pPr>
          </w:p>
        </w:tc>
      </w:tr>
      <w:tr>
        <w:trPr>
          <w:trHeight w:val="139"/>
        </w:trPr>
        <w:tc>
          <w:tcPr>
            <w:tcW w:w="7480" w:type="dxa"/>
            <w:vAlign w:val="bottom"/>
          </w:tcPr>
          <w:p>
            <w:pPr>
              <w:ind w:left="400"/>
              <w:spacing w:after="0" w:line="139" w:lineRule="exact"/>
              <w:rPr>
                <w:sz w:val="20"/>
                <w:szCs w:val="20"/>
                <w:color w:val="auto"/>
              </w:rPr>
            </w:pPr>
            <w:r>
              <w:rPr>
                <w:rFonts w:ascii="Times New Roman" w:cs="Times New Roman" w:eastAsia="Times New Roman" w:hAnsi="Times New Roman"/>
                <w:sz w:val="13"/>
                <w:szCs w:val="13"/>
                <w:color w:val="auto"/>
              </w:rPr>
              <w:t>Net deferred tax liabilities</w:t>
            </w:r>
          </w:p>
        </w:tc>
        <w:tc>
          <w:tcPr>
            <w:tcW w:w="1480" w:type="dxa"/>
            <w:vAlign w:val="bottom"/>
            <w:tcBorders>
              <w:bottom w:val="single" w:sz="8" w:color="auto"/>
            </w:tcBorders>
          </w:tcPr>
          <w:p>
            <w:pPr>
              <w:jc w:val="right"/>
              <w:ind w:right="13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4,602</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4,389</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4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Houston Electric</w:t>
            </w:r>
          </w:p>
        </w:tc>
        <w:tc>
          <w:tcPr>
            <w:tcW w:w="1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Benefits and compensation</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83"/>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and credit carryforwards</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0" w:type="dxa"/>
            <w:vAlign w:val="bottom"/>
          </w:tcPr>
          <w:p>
            <w:pPr>
              <w:spacing w:after="0"/>
              <w:rPr>
                <w:sz w:val="1"/>
                <w:szCs w:val="1"/>
                <w:color w:val="auto"/>
              </w:rPr>
            </w:pPr>
          </w:p>
        </w:tc>
      </w:tr>
      <w:tr>
        <w:trPr>
          <w:trHeight w:val="152"/>
        </w:trPr>
        <w:tc>
          <w:tcPr>
            <w:tcW w:w="7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Deferred tax liabilities:</w:t>
            </w:r>
          </w:p>
        </w:tc>
        <w:tc>
          <w:tcPr>
            <w:tcW w:w="1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0" w:type="dxa"/>
            <w:vAlign w:val="bottom"/>
          </w:tcPr>
          <w:p>
            <w:pPr>
              <w:spacing w:after="0"/>
              <w:rPr>
                <w:sz w:val="1"/>
                <w:szCs w:val="1"/>
                <w:color w:val="auto"/>
              </w:rPr>
            </w:pPr>
          </w:p>
        </w:tc>
      </w:tr>
      <w:tr>
        <w:trPr>
          <w:trHeight w:val="188"/>
        </w:trPr>
        <w:tc>
          <w:tcPr>
            <w:tcW w:w="7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deferred tax liabilities</w:t>
            </w:r>
          </w:p>
        </w:tc>
        <w:tc>
          <w:tcPr>
            <w:tcW w:w="148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4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Benefits and compensation</w:t>
            </w:r>
          </w:p>
        </w:tc>
        <w:tc>
          <w:tcPr>
            <w:tcW w:w="1480" w:type="dxa"/>
            <w:vAlign w:val="bottom"/>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and credit carryforwards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Valuation allowance</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0" w:type="dxa"/>
            <w:vAlign w:val="bottom"/>
          </w:tcPr>
          <w:p>
            <w:pPr>
              <w:spacing w:after="0"/>
              <w:rPr>
                <w:sz w:val="1"/>
                <w:szCs w:val="1"/>
                <w:color w:val="auto"/>
              </w:rPr>
            </w:pPr>
          </w:p>
        </w:tc>
      </w:tr>
      <w:tr>
        <w:trPr>
          <w:trHeight w:val="152"/>
        </w:trPr>
        <w:tc>
          <w:tcPr>
            <w:tcW w:w="7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Deferred tax liabilities:</w:t>
            </w:r>
          </w:p>
        </w:tc>
        <w:tc>
          <w:tcPr>
            <w:tcW w:w="1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1,883</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4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0" w:type="dxa"/>
            <w:vAlign w:val="bottom"/>
          </w:tcPr>
          <w:p>
            <w:pPr>
              <w:spacing w:after="0"/>
              <w:rPr>
                <w:sz w:val="1"/>
                <w:szCs w:val="1"/>
                <w:color w:val="auto"/>
              </w:rPr>
            </w:pPr>
          </w:p>
        </w:tc>
      </w:tr>
      <w:tr>
        <w:trPr>
          <w:trHeight w:val="163"/>
        </w:trPr>
        <w:tc>
          <w:tcPr>
            <w:tcW w:w="7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deferred tax liabilities</w:t>
            </w:r>
          </w:p>
        </w:tc>
        <w:tc>
          <w:tcPr>
            <w:tcW w:w="1480" w:type="dxa"/>
            <w:vAlign w:val="bottom"/>
            <w:tcBorders>
              <w:bottom w:val="single" w:sz="8" w:color="auto"/>
            </w:tcBorders>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Tax Attribute Carryforwards and Valuation Allowance</w:t>
      </w:r>
      <w:r>
        <w:rPr>
          <w:rFonts w:ascii="Times New Roman" w:cs="Times New Roman" w:eastAsia="Times New Roman" w:hAnsi="Times New Roman"/>
          <w:sz w:val="14"/>
          <w:szCs w:val="14"/>
          <w:color w:val="auto"/>
        </w:rPr>
        <w:t>. As of December 31, 2025, CenterPoint Energy had (i) federal NOL carryforwards of $3.3 billion, which have an indefinite carryforward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(ii) federal charitable contribution carryforwards of $63 million, which expire beginning in 2028; (iii) federal corporate alternative minimum tax carryforwards of $201 million, which have an indefinite carryforward period; (iv) $2 billion of gross state NOL carryforwards, which expire beginning in 2029; and (v) $1 million of state tax credits, net of valuation allowance, which expire beginning in 2032.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color w:val="auto"/>
        </w:rPr>
        <w:t>CenterPoint Energy reported a valuation allowance against certain state NOL and credit carryforwards because it is more likely than not that the benefit will not be realized.</w:t>
      </w:r>
    </w:p>
    <w:p>
      <w:pPr>
        <w:spacing w:after="0" w:line="200"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Houston Electric had (i) federal NOL carryforwards of $1.9 billion, which have an indefinite carryforward period; and (ii) federal corporate alternative minimum tax carryforwards of $96 million, which have an indefinite carryforward period.</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CERC had (i) federal NOL carryforwards of $1.5 billion, which have an indefinite carryforward period; (ii) federal corporate alternative minimum tax carryforwards of $152 million, which have an indefinite carryforward period; and (iii) $927 million of gross state NOL carryforwards, which expire beginning in 2029.</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CenterPoint Energy’s beginning and ending balance of unrecognized tax benefits, excluding interest and penalties, are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74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6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Lapse of statute of limitations</w:t>
            </w:r>
          </w:p>
        </w:tc>
        <w:tc>
          <w:tcPr>
            <w:tcW w:w="104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w w:val="92"/>
              </w:rPr>
              <w:t>(1)</w:t>
            </w:r>
          </w:p>
        </w:tc>
      </w:tr>
      <w:tr>
        <w:trPr>
          <w:trHeight w:val="18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CenterPoint Energy reported net unrecognized tax benefits, including penalties and interest, of $24 million, which were included in Other non-current liabilities in the Consolidated Balance Sheets. Included in the balance of uncertain tax positions as of December 31, 2025 were $17 million of tax benefits that, if recognized, would affect the effective tax rate. The Registrants recognize interest accrued related to unrecognized tax benefits and penalties as income tax expense. The above table does not include $7 million of accrued penalties and interest as of December 31, 2025.</w:t>
      </w:r>
    </w:p>
    <w:p>
      <w:pPr>
        <w:spacing w:after="0" w:line="160" w:lineRule="exact"/>
        <w:rPr>
          <w:sz w:val="20"/>
          <w:szCs w:val="20"/>
          <w:color w:val="auto"/>
        </w:rPr>
      </w:pPr>
    </w:p>
    <w:p>
      <w:pPr>
        <w:ind w:right="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Tax Audits and Settlements</w:t>
      </w:r>
      <w:r>
        <w:rPr>
          <w:rFonts w:ascii="Times New Roman" w:cs="Times New Roman" w:eastAsia="Times New Roman" w:hAnsi="Times New Roman"/>
          <w:sz w:val="14"/>
          <w:szCs w:val="14"/>
          <w:color w:val="auto"/>
        </w:rPr>
        <w:t>. Tax years through 2022 have been audited and settled with the IRS for CenterPoint Energy. For tax years 2023, 2024 and 2025, the Registrants are participants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IRS’s Compliance Assurance Process.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Income Taxes Payments and Refunds</w:t>
      </w:r>
      <w:r>
        <w:rPr>
          <w:rFonts w:ascii="Times New Roman" w:cs="Times New Roman" w:eastAsia="Times New Roman" w:hAnsi="Times New Roman"/>
          <w:sz w:val="14"/>
          <w:szCs w:val="14"/>
          <w:color w:val="auto"/>
        </w:rPr>
        <w:t>. For income taxes paid or refunds received for the years ended December 31, 2025, 2024 and 2023, see Note 17.</w:t>
      </w:r>
    </w:p>
    <w:p>
      <w:pPr>
        <w:spacing w:after="0" w:line="200" w:lineRule="exact"/>
        <w:rPr>
          <w:sz w:val="20"/>
          <w:szCs w:val="20"/>
          <w:color w:val="auto"/>
        </w:rPr>
      </w:pPr>
    </w:p>
    <w:p>
      <w:pPr>
        <w:ind w:left="280" w:hanging="275"/>
        <w:spacing w:after="0"/>
        <w:tabs>
          <w:tab w:leader="none" w:pos="28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99" w:lineRule="exact"/>
        <w:rPr>
          <w:rFonts w:ascii="Times New Roman" w:cs="Times New Roman" w:eastAsia="Times New Roman" w:hAnsi="Times New Roman"/>
          <w:sz w:val="14"/>
          <w:szCs w:val="14"/>
          <w:b w:val="1"/>
          <w:bCs w:val="1"/>
          <w:color w:val="auto"/>
        </w:rPr>
      </w:pPr>
    </w:p>
    <w:p>
      <w:pPr>
        <w:ind w:left="460" w:hanging="200"/>
        <w:spacing w:after="0"/>
        <w:tabs>
          <w:tab w:leader="none" w:pos="460" w:val="left"/>
        </w:tabs>
        <w:numPr>
          <w:ilvl w:val="1"/>
          <w:numId w:val="8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Purchase Obligations (CenterPoint Energy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Commitments include minimum purchase obligations related to CenterPoint Energy’s and CERC’s Natural Gas reportable segment and CenterPoint Energy’s Electric reportable</w:t>
      </w:r>
    </w:p>
    <w:p>
      <w:pPr>
        <w:spacing w:after="0" w:line="2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4"/>
          <w:szCs w:val="14"/>
          <w:color w:val="auto"/>
        </w:rPr>
        <w:t>segment. Contracts with minimum payment obligations have various quantity requirements and durations and are not classified as non-trading derivative assets and liabilities in CenterPoint Energy’s and CERC’s Consolidated Balance Sheets as of December 31, 2025 and 2024 because these contracts meet an exception as “normal purchases contracts” or do not meet the definition of a derivative. Natural gas supply commitments also include transportation contracts that do not meet the definition of a derivative.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75" w:name="page176"/>
    <w:bookmarkEnd w:id="175"/>
    <w:p>
      <w:pPr>
        <w:ind w:left="260"/>
        <w:spacing w:after="0"/>
        <w:rPr>
          <w:sz w:val="20"/>
          <w:szCs w:val="20"/>
          <w:color w:val="auto"/>
        </w:rPr>
      </w:pPr>
      <w:r>
        <w:rPr>
          <w:rFonts w:ascii="Times New Roman" w:cs="Times New Roman" w:eastAsia="Times New Roman" w:hAnsi="Times New Roman"/>
          <w:sz w:val="14"/>
          <w:szCs w:val="14"/>
          <w:color w:val="auto"/>
        </w:rPr>
        <w:t>As of December 31, 2025, CenterPoint Energy and CERC had the following undiscounted minimum purchase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2660" w:type="dxa"/>
            <w:vAlign w:val="bottom"/>
          </w:tcPr>
          <w:p>
            <w:pPr>
              <w:spacing w:after="0"/>
              <w:rPr>
                <w:sz w:val="14"/>
                <w:szCs w:val="14"/>
                <w:color w:val="auto"/>
              </w:rPr>
            </w:pPr>
          </w:p>
        </w:tc>
        <w:tc>
          <w:tcPr>
            <w:tcW w:w="1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Natural Gas Supply</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Electric Supply (1)</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Other (2)</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Natural Gas Supply</w:t>
            </w:r>
          </w:p>
        </w:tc>
      </w:tr>
      <w:tr>
        <w:trPr>
          <w:trHeight w:val="160"/>
        </w:trPr>
        <w:tc>
          <w:tcPr>
            <w:tcW w:w="26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660" w:type="dxa"/>
            <w:vAlign w:val="bottom"/>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w:t>
            </w: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w:t>
            </w: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r>
      <w:tr>
        <w:trPr>
          <w:trHeight w:val="168"/>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w:t>
            </w:r>
          </w:p>
        </w:tc>
      </w:tr>
      <w:tr>
        <w:trPr>
          <w:trHeight w:val="188"/>
        </w:trPr>
        <w:tc>
          <w:tcPr>
            <w:tcW w:w="2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660" w:type="dxa"/>
            <w:vAlign w:val="bottom"/>
            <w:tcBorders>
              <w:bottom w:val="single" w:sz="8" w:color="auto"/>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4,137</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PPAs with commitments ranging from 20 years to 27 years.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technology hardware and software agreements.</w:t>
      </w:r>
    </w:p>
    <w:p>
      <w:pPr>
        <w:spacing w:after="0" w:line="185"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Excluded from the table above are estimates for cash outlays from other PPAs through Indiana Electric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Guarantees (CenterPoint Energy)</w:t>
      </w:r>
    </w:p>
    <w:p>
      <w:pPr>
        <w:spacing w:after="0" w:line="202"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w:t>
      </w:r>
    </w:p>
    <w:p>
      <w:pPr>
        <w:spacing w:after="0" w:line="145"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On May 21, 2023, CenterPoint Energy, through Vectren Energy Services, entered into the Equity Purchase Agreement to sell Energy Systems Group. The sale closed on June 30, 2023. See Note 4 for further information.</w:t>
      </w:r>
    </w:p>
    <w:p>
      <w:pPr>
        <w:spacing w:after="0" w:line="14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the normal course of business prior to the consummation of the transaction on June 30, 2023, CenterPoint Energy, primarily through Vectren, issued parent company level guarantees supporting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estimated the maximum exposure under these guarantees to be approximately $434 million as of December 31, 2025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168"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162"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 xml:space="preserve">While there can be no assurance that performance under any of these parent company guarantees will not be required in the future, CenterPoint Energy considers the likelihood of a material amount being incurred to be remote. CenterPoint Energy believes that, from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 xml:space="preserve">’s inception in 1994 to the closing of the sale of Energy Systems Group on June 30, 2023, </w:t>
      </w:r>
      <w:r>
        <w:rPr>
          <w:rFonts w:ascii="Times New Roman" w:cs="Times New Roman" w:eastAsia="Times New Roman" w:hAnsi="Times New Roman"/>
          <w:sz w:val="14"/>
          <w:szCs w:val="14"/>
          <w:color w:val="221F1F"/>
        </w:rPr>
        <w:t>Energy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1F1F"/>
        </w:rPr>
        <w:t xml:space="preserve">Systems Group </w:t>
      </w:r>
      <w:r>
        <w:rPr>
          <w:rFonts w:ascii="Times New Roman" w:cs="Times New Roman" w:eastAsia="Times New Roman" w:hAnsi="Times New Roman"/>
          <w:sz w:val="14"/>
          <w:szCs w:val="14"/>
          <w:color w:val="000000"/>
        </w:rPr>
        <w:t>had a history of generally meeting its performance obligations and energy savings guarantees and its installed products operated effectively. CenterPoint Energy recorded no amounts</w:t>
      </w:r>
      <w:r>
        <w:rPr>
          <w:rFonts w:ascii="Times New Roman" w:cs="Times New Roman" w:eastAsia="Times New Roman" w:hAnsi="Times New Roman"/>
          <w:sz w:val="14"/>
          <w:szCs w:val="14"/>
          <w:color w:val="221F1F"/>
        </w:rPr>
        <w:t xml:space="preserve"> </w:t>
      </w:r>
      <w:r>
        <w:rPr>
          <w:rFonts w:ascii="Times New Roman" w:cs="Times New Roman" w:eastAsia="Times New Roman" w:hAnsi="Times New Roman"/>
          <w:sz w:val="14"/>
          <w:szCs w:val="14"/>
          <w:color w:val="000000"/>
        </w:rPr>
        <w:t>on its Consolidated Balance Sheets as of December 31, 2025 and 2024 related to its obligation under the outstanding guarantees.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76" w:name="page177"/>
    <w:bookmarkEnd w:id="176"/>
    <w:p>
      <w:pPr>
        <w:ind w:left="140" w:right="8440" w:firstLine="120"/>
        <w:spacing w:after="0" w:line="537" w:lineRule="auto"/>
        <w:tabs>
          <w:tab w:leader="none" w:pos="460" w:val="left"/>
        </w:tabs>
        <w:numPr>
          <w:ilvl w:val="0"/>
          <w:numId w:val="9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Legal, Environmental and Other Matters Legal Matters</w:t>
      </w:r>
    </w:p>
    <w:p>
      <w:pPr>
        <w:spacing w:after="0" w:line="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Hurricane Beryl. </w:t>
      </w:r>
      <w:r>
        <w:rPr>
          <w:rFonts w:ascii="Times New Roman" w:cs="Times New Roman" w:eastAsia="Times New Roman" w:hAnsi="Times New Roman"/>
          <w:sz w:val="14"/>
          <w:szCs w:val="14"/>
          <w:color w:val="auto"/>
        </w:rPr>
        <w:t>Various federal, state and local governmental and regulatory agencies and other entities called for or conducted inquiries and investigations into Hurricane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Beryl, the efforts made by Houston Electric to prepare for, and respond to, this event, including the electric service outage issues, and the procurement of TEEEF. Moreover, additional governmental and regulatory agencies and other entities may conduct such inquiries and investigations. Ongoing and future inquiries, investigations and proposed legislation regarding Hurricane Beryl could adversely affect our business, financial condition, results of operations and cash flows, including with respect to our recovery of costs incurred as a result of Hurricane Beryl or future severe weather events; the assessment of financial penalties; changes to Houston Electric’s system, service territories, operations and/or regulatory treatment; and the viability for Houston Electric to continue leasing TEEEF.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The action was removed to the Texas Business Courts, and on June 18, 2025, the parties filed an agreed upon stipulation to stay the case, which was approved by the court on June 24, 2025. As of December 31, 2025, the case remains stayed. Additionally, on February 12, 2025, a second putative shareholder of CenterPoint Energy made a demand on the Board to investigate the same basic allegations raised in the derivative petition filed by Donel Davidson.</w:t>
      </w:r>
    </w:p>
    <w:p>
      <w:pPr>
        <w:spacing w:after="0" w:line="16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4"/>
          <w:szCs w:val="14"/>
          <w:color w:val="auto"/>
        </w:rPr>
        <w:t>CenterPoint Energy, CenterPoint Energy Service Company, LLC and Houston Electric are subject to current and potential future litigation and claims arising out of Hurricane Beryl, which litigation and claims could include allegations of, among other things, personal injury, wrongful death, property damage, various economic losses in connection with loss of power, unlawful business practices, and others. Following Hurricane Beryl, several putative class actions were filed against CenterPoint Energy and/or Houston Electric in the District Courts of Harris County, Texas, on behalf of individuals or entities who claim losses due to 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asserted claims and theories of negligence, gross negligence, nuisance, fraud, and/or violation of Houston Electric’s tariff for retail delivery service, and each seeks damages in excess of $100 million for, among other things, business interruption, property damage and loss, cost of repair, loss of use and market value, lost income, nuisance, extreme mental anguish and/or punitive damages. On July 30, 2025, the plaintiffs in the putative class action on behalf of all residential customers nonsuited without prejudice all claims and causes of action. In addition, the plaintiffs in the other two putative class actions have amended their petitions to remove all class action allegations and assert claims of negligence, gross negligence, nuisance and/or intentional misconduct. One of those lawsuits is brought by approximately 220 individually named plaintiffs, and the other lawsuit includes approximately 50 individually named plaintiffs. Several individual actions have also been filed in Harris County District Courts asserting claims of negligence, negligence per se, negligent undertaking and/or gross negligence against CenterPoint Energy, CenterPoint Energy Service Company, LLC and/or Houston Electric. Certain plaintiffs in these actions allege personal injury or property damage and seek damages in excess of $1 million. These cases have been transferred to the designated MDL pretrial court. CenterPoint Energy, CenterPoint Energy Service Company, LLC and/or Houston Electric filed dispositive motions in the two former putative class action cases and certain of the individual actions. On December 1, 2025, the MDL pretrial court granted Houston Electric’s dispositive motion in one of the individual actions brought by a business alleging losses due to a power outage following Hurricane Beryl. On January 28, 2026, the MDL pretrial court denied dispositive motions filed by CenterPoint Energy, CenterPoint Energy Service Company, LLC and/or Houston Electric in individual actions alleging personal injury or property damage. Houston Electric filed notices of appeal of these orders. The remaining dispositive motions that have been filed are set for hearing by the MDL pretrial court on February 23, 2026. CenterPoint Energy, CenterPoint Energy Service Company, LLC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certain insurers have disputed, and more insurers may dispute, coverage for some types of claims or damages that have been or may in the future be alleged by plaintiffs. For example, CenterPoint Energy has received from two insurers denials of indemnity coverage in the cases arising out of power outages based on the failure to supply exclusion, and those insurers have also reserved their rights with respect to coverage in those actions. CenterPoint Energy, CenterPoint Energy Service Company, LLC and Houston Electric intend to continue to pursue all available insurance coverage for all of these matters. 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color w:val="auto"/>
        </w:rPr>
        <w:t>consequences of any of the foregoing matters or to estimate a range of potential losses. For more information regarding Hurricane Beryl, see Note 7.</w:t>
      </w:r>
    </w:p>
    <w:p>
      <w:pPr>
        <w:spacing w:after="0" w:line="198"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the February 2021 Winter Storm Event. </w:t>
      </w:r>
      <w:r>
        <w:rPr>
          <w:rFonts w:ascii="Times New Roman" w:cs="Times New Roman" w:eastAsia="Times New Roman" w:hAnsi="Times New Roman"/>
          <w:sz w:val="14"/>
          <w:szCs w:val="14"/>
          <w:color w:val="auto"/>
        </w:rPr>
        <w:t>Various legal proceedings are still pending against numerous entities with respect to the February 2021 Winter Storm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against CenterPoint Energy, Utility Holding,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16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4"/>
          <w:szCs w:val="14"/>
          <w:color w:val="auto"/>
        </w:rPr>
        <w:t>CenterPoint Energy, Utility Holding and Houston Electric, along with hundreds of other defendants (including ERCOT, power generation companies, other TDUs, natural gas producers, REPs, and other entities) received claims and lawsuits filed by plaintiffs alleging wrongful death, personal injury, property damage and other injuries and damages. As of December 31, 2025, there were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150 of those lawsuits. The plaintiffs in the lawsuits asserted negligence, gross negligence and nuisance causes of action, among others, against CenterPoint Energy, Utility Holding and Houston Electric. Following the filing of dispositive motions under Rule 91a of the Texas Rules of Civil Procedure in five representative or “bellwether” cases in the MDL proceeding and related mandamus proceedings in the court of appeals and the Supreme Court of Texas, the plaintiffs’ claims against CenterPoint Energy and Houston Electric have been dismissed with the exception of the plaintiffs’ gross negligence claims. With respect to the plaintiffs’ gross negligence claims, the Supreme Court of Texas concluded that the plaintiffs should be given the opportunity to replead those claims. Following issuance of the decision of the Supreme Court of Texas on September 11, 2025, the MDL judge issued an order with a January 9, 2026 deadline for the plaintiffs to replead their gross negligence claims and a schedule for the TDUs to file certain dispositive motions in response. As of the date of filing this Form 10-K, most of the plaintiffs have filed amended petitions. The claims against Utility Holding have been dismissed in light of the judge’s initial rulings on the Rule 91a dispositive motions. The TDUs (including Houston Electric) also filed a motion to dismiss under Chapter 150 of the Texas Civil Practice and Remedies Code in one of the bellwether cases and argued that all of plaintiffs’ claims should be dismissed because the plaintiffs did not include a sufficient certificate of merit by a qualified engineer with their petition, as required by Texas law. On November 13, 2024, the MDL judge granted the TDUs’ motion to dismiss under Chapter 150, and on December 3, 2024, the plaintiffs filed a notice of appeal of that ruling. Briefing in this appellate proceeding is complete. Aside from the filing of amended pleadings and certain dispositive motions in response, all litigation otherwise remains stayed in the MDL. CenterPoint Energy and Houston Electric intend to vigorously defend themselves against the remaining claims.</w:t>
      </w:r>
    </w:p>
    <w:p>
      <w:pPr>
        <w:spacing w:after="0" w:line="172"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In February 2023, multiple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CenterPoint Energy Services, Inc.). There are two main remaining lawsuits—one filed in Harris County and one in Tom Green County—which were brought by an entity that purports to be an assignee of the claims of tens of thousands of persons and entities. These suits generally allege that the defendants engaged in gas market manipulation, including by intentionally withholding, suppressing, or diverting supplies of natural gas in connection with the February 2021 Winter Storm Event. Plaintiffs allege that this manipulation impacted gas supply and prices and caused blackouts and other damage. Plaintiffs assert claims for tortious interference with existing contract, private nuisance, and unjust enrichment. The lawsuits do not specify the amount of damages sought, but seek broad categories of actual, compensatory, consequential economic, and punitive damages; restitution and disgorgement; pre- and post-judgment interest; costs and attorneys’ fees; and other relief. All of these lawsuits have been transferred to the existing MDL proceeding referenced above. These gas market cases are in addition to the 220 cases noted above regarding electric market issues.</w:t>
      </w:r>
    </w:p>
    <w:p>
      <w:pPr>
        <w:spacing w:after="0" w:line="16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CERC has vigorously defended itself against the claims raised in the gas market cases. On February 2, 2024, CERC filed pleas to the jurisdiction in the three cases in which it was served on February 2, 2024 and again on May 17, 2024; CERC also partially joined the other defendants’ motions to dismiss and additional pleas to the jurisdiction. On November 7, 2024 and November 11, 2024, the MDL judge granted defendants’ motion to dismiss and CERC’s plea to the jurisdiction in all three cases. As a result of these rulings, all claims against CERC were dismissed with prejudice. Plaintiffs have appealed these rulings, and the appeals have been assigned to the Court of Appeals for the First District of Texas. One of the three cases against CERC was a putative class action, but that case has been dismissed. On January 17, 2025, the plaintiffs in the putative class action case filed an unopposed motion to dismiss their appeal, which the Court of Appeals granted on February 4, 2025. CERC is still a defendant in two remaining cases. The parties have completed their briefing for the Court of Appeals for the First District of Texas and await a ruling.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8" w:name="page179"/>
    <w:bookmarkEnd w:id="178"/>
    <w:p>
      <w:pPr>
        <w:ind w:right="200" w:firstLine="255"/>
        <w:spacing w:after="0" w:line="258" w:lineRule="auto"/>
        <w:rPr>
          <w:sz w:val="20"/>
          <w:szCs w:val="20"/>
          <w:color w:val="auto"/>
        </w:rPr>
      </w:pPr>
      <w:r>
        <w:rPr>
          <w:rFonts w:ascii="Times New Roman" w:cs="Times New Roman" w:eastAsia="Times New Roman" w:hAnsi="Times New Roman"/>
          <w:sz w:val="14"/>
          <w:szCs w:val="14"/>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claims in the gas market cases. CenterPoint Energy and its subsidiaries intend to continue to pursue all available insurance coverage for all of these matters.</w:t>
      </w:r>
    </w:p>
    <w:p>
      <w:pPr>
        <w:spacing w:after="0" w:line="166"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Jefferson Parish</w:t>
      </w:r>
      <w:r>
        <w:rPr>
          <w:rFonts w:ascii="Times New Roman" w:cs="Times New Roman" w:eastAsia="Times New Roman" w:hAnsi="Times New Roman"/>
          <w:sz w:val="14"/>
          <w:szCs w:val="14"/>
          <w:color w:val="auto"/>
        </w:rPr>
        <w:t>. Several parishes and the State of Louisiana filed 42 suits under Louisiana’s State and Local Coastal Resources Management Act against hundreds of oil and gas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seeking compensatory damages for contamination and erosion of the Louisiana coastline allegedly caused by historical oil and gas operations. One of the defendants in one of the lawsuits (filed in 2013 by the Parish of Jefferson) is Primary Fuels, Inc., a predecessor company of CenterPoint Energy, which operated in the oilfield at issue in the case from 1983-1989. All 42 suits were removed to Louisiana federal courts twice and were stayed for several years pending the federal courts’ consideration of various motions to remand and multiple appeals of remand orders. Several cases involving other parishes were remanded to Louisiana state court. To date, two of the 42 suits have substantially progressed in state court. The first case, </w:t>
      </w:r>
      <w:r>
        <w:rPr>
          <w:rFonts w:ascii="Times New Roman" w:cs="Times New Roman" w:eastAsia="Times New Roman" w:hAnsi="Times New Roman"/>
          <w:sz w:val="14"/>
          <w:szCs w:val="14"/>
          <w:i w:val="1"/>
          <w:iCs w:val="1"/>
          <w:color w:val="auto"/>
        </w:rPr>
        <w:t>Cameron Parish v. Auster Oil &amp; Gas, Inc., 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al.</w:t>
      </w:r>
      <w:r>
        <w:rPr>
          <w:rFonts w:ascii="Times New Roman" w:cs="Times New Roman" w:eastAsia="Times New Roman" w:hAnsi="Times New Roman"/>
          <w:sz w:val="14"/>
          <w:szCs w:val="14"/>
          <w:color w:val="auto"/>
        </w:rPr>
        <w:t>, settled shortly before trial on confidential terms. The second case,</w:t>
      </w:r>
      <w:r>
        <w:rPr>
          <w:rFonts w:ascii="Times New Roman" w:cs="Times New Roman" w:eastAsia="Times New Roman" w:hAnsi="Times New Roman"/>
          <w:sz w:val="14"/>
          <w:szCs w:val="14"/>
          <w:i w:val="1"/>
          <w:iCs w:val="1"/>
          <w:color w:val="auto"/>
        </w:rPr>
        <w:t xml:space="preserve"> Plaquemines Parish v. Rozel Operating Co., et al</w:t>
      </w:r>
      <w:r>
        <w:rPr>
          <w:rFonts w:ascii="Times New Roman" w:cs="Times New Roman" w:eastAsia="Times New Roman" w:hAnsi="Times New Roman"/>
          <w:sz w:val="14"/>
          <w:szCs w:val="14"/>
          <w:color w:val="auto"/>
        </w:rPr>
        <w:t>., was tried against one defendant, Chevron Corporation, and on April 4,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jury returned a verdict of $744.6 million. Before final judgment was entered, the </w:t>
      </w:r>
      <w:r>
        <w:rPr>
          <w:rFonts w:ascii="Times New Roman" w:cs="Times New Roman" w:eastAsia="Times New Roman" w:hAnsi="Times New Roman"/>
          <w:sz w:val="14"/>
          <w:szCs w:val="14"/>
          <w:i w:val="1"/>
          <w:iCs w:val="1"/>
          <w:color w:val="auto"/>
        </w:rPr>
        <w:t>Rozel</w:t>
      </w:r>
      <w:r>
        <w:rPr>
          <w:rFonts w:ascii="Times New Roman" w:cs="Times New Roman" w:eastAsia="Times New Roman" w:hAnsi="Times New Roman"/>
          <w:sz w:val="14"/>
          <w:szCs w:val="14"/>
          <w:color w:val="auto"/>
        </w:rPr>
        <w:t xml:space="preserve"> case was stayed until the United States Supreme Court rules on the merits of a jurisdictional issue in a related case that does not include Primary Fuels, Inc. As of December 31, 2025, the federal district court had not ruled on Jefferson Parish’s motion to remand to state court the lawsuit which includes Primary Fuels, Inc. among the defendants. The timing of further progress in the Jefferson Parish case is uncertain and dependent in part on the court’s ruling on the motion to remand and further developments in other related cases.</w:t>
      </w:r>
    </w:p>
    <w:p>
      <w:pPr>
        <w:spacing w:after="0" w:line="16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Because of the procedurally preliminary nature of the proceedings in the case in which Primary Fuels, Inc. is a defendant, lack of information about both the scope of and damages for Jefferson Parish’s claim against Primary Fuels, Inc., the number of parties and complexity of issues involved, and the uncertainties of litigation, CenterPoint Energy and its subsidiaries are unable to predict the outcome or consequences of this matter or to estimate a range of potential losses. CenterPoint Energy intends to continue to vigorously defend itself against the claims raised and pursue any and all available insurance coverage.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200"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MGP Sites. </w:t>
      </w:r>
      <w:r>
        <w:rPr>
          <w:rFonts w:ascii="Times New Roman" w:cs="Times New Roman" w:eastAsia="Times New Roman" w:hAnsi="Times New Roman"/>
          <w:sz w:val="14"/>
          <w:szCs w:val="14"/>
          <w:color w:val="auto"/>
        </w:rPr>
        <w:t>CenterPoint Energy, CERC and their predecessors, including predecessors of Vectren, operated MGPs in the past. The costs CenterPoint Energy or CERC, as applicable, expect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59" w:lineRule="exact"/>
        <w:rPr>
          <w:sz w:val="20"/>
          <w:szCs w:val="20"/>
          <w:color w:val="auto"/>
        </w:rPr>
      </w:pPr>
    </w:p>
    <w:p>
      <w:pPr>
        <w:ind w:left="520" w:hanging="260"/>
        <w:spacing w:after="0" w:line="271" w:lineRule="auto"/>
        <w:tabs>
          <w:tab w:leader="none" w:pos="515"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Minnesota MGPs (CenterPoint Energy and CERC)</w:t>
      </w:r>
      <w:r>
        <w:rPr>
          <w:rFonts w:ascii="Times New Roman" w:cs="Times New Roman" w:eastAsia="Times New Roman" w:hAnsi="Times New Roman"/>
          <w:sz w:val="14"/>
          <w:szCs w:val="14"/>
          <w:color w:val="auto"/>
        </w:rPr>
        <w:t>. With respect to certain Minnesota MGP sites, CenterPoint Energy and CERC have completed state-ordered remediation and continue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state-ordered monitoring and water treatment. CenterPoint Energy and CERC recorded a liability as reflected in the table below for continued monitoring and any future remediation required by regulators in Minnesota.</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2"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Indiana MGPs (CenterPoint Energy and CERC)</w:t>
      </w:r>
      <w:r>
        <w:rPr>
          <w:rFonts w:ascii="Times New Roman" w:cs="Times New Roman" w:eastAsia="Times New Roman" w:hAnsi="Times New Roman"/>
          <w:sz w:val="14"/>
          <w:szCs w:val="14"/>
          <w:color w:val="auto"/>
        </w:rPr>
        <w:t>. In the Indiana Gas service territory, the existence, location and certain general characteristics of 26 gas manufacturing and storage sites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w:t>
      </w:r>
    </w:p>
    <w:p>
      <w:pPr>
        <w:ind w:left="520" w:right="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1" w:right="339" w:bottom="1440" w:gutter="0" w:footer="0" w:header="0"/>
        </w:sectPr>
      </w:pPr>
    </w:p>
    <w:bookmarkStart w:id="179" w:name="page180"/>
    <w:bookmarkEnd w:id="179"/>
    <w:p>
      <w:pPr>
        <w:ind w:left="520" w:right="280" w:hanging="260"/>
        <w:spacing w:after="0" w:line="290" w:lineRule="auto"/>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MGPs (CenterPoint Energy and CERC). </w:t>
      </w:r>
      <w:r>
        <w:rPr>
          <w:rFonts w:ascii="Times New Roman" w:cs="Times New Roman" w:eastAsia="Times New Roman" w:hAnsi="Times New Roman"/>
          <w:sz w:val="14"/>
          <w:szCs w:val="14"/>
          <w:color w:val="auto"/>
        </w:rPr>
        <w:t>In addition to the Minnesota and Indiana sites, the EPA and other regulators have investigated MGP sites that were owned or operated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CenterPoint Energy or CERC or may have been owned by one of their former affiliates.</w:t>
      </w:r>
    </w:p>
    <w:p>
      <w:pPr>
        <w:spacing w:after="0" w:line="143"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jc w:val="center"/>
              <w:ind w:left="856"/>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1120" w:type="dxa"/>
            <w:vAlign w:val="bottom"/>
            <w:tcBorders>
              <w:bottom w:val="single" w:sz="8" w:color="auto"/>
            </w:tcBorders>
          </w:tcPr>
          <w:p>
            <w:pPr>
              <w:spacing w:after="0"/>
              <w:rPr>
                <w:sz w:val="14"/>
                <w:szCs w:val="14"/>
                <w:color w:val="auto"/>
              </w:rPr>
            </w:pPr>
          </w:p>
        </w:tc>
      </w:tr>
      <w:tr>
        <w:trPr>
          <w:trHeight w:val="161"/>
        </w:trPr>
        <w:tc>
          <w:tcPr>
            <w:tcW w:w="7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2"/>
          </w:tcPr>
          <w:p>
            <w:pPr>
              <w:jc w:val="center"/>
              <w:ind w:left="856"/>
              <w:spacing w:after="0"/>
              <w:rPr>
                <w:sz w:val="20"/>
                <w:szCs w:val="20"/>
                <w:color w:val="auto"/>
              </w:rPr>
            </w:pPr>
            <w:r>
              <w:rPr>
                <w:rFonts w:ascii="Times New Roman" w:cs="Times New Roman" w:eastAsia="Times New Roman" w:hAnsi="Times New Roman"/>
                <w:sz w:val="13"/>
                <w:szCs w:val="13"/>
                <w:b w:val="1"/>
                <w:bCs w:val="1"/>
                <w:color w:val="auto"/>
                <w:w w:val="98"/>
              </w:rPr>
              <w:t>(in millions, except years)</w:t>
            </w:r>
          </w:p>
        </w:tc>
        <w:tc>
          <w:tcPr>
            <w:tcW w:w="1120" w:type="dxa"/>
            <w:vAlign w:val="bottom"/>
          </w:tcPr>
          <w:p>
            <w:pPr>
              <w:spacing w:after="0"/>
              <w:rPr>
                <w:sz w:val="13"/>
                <w:szCs w:val="13"/>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 accrued for remediation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estimated remediation costs</w:t>
            </w:r>
          </w:p>
        </w:tc>
        <w:tc>
          <w:tcPr>
            <w:tcW w:w="220" w:type="dxa"/>
            <w:vAlign w:val="bottom"/>
          </w:tcPr>
          <w:p>
            <w:pPr>
              <w:spacing w:after="0"/>
              <w:rPr>
                <w:sz w:val="14"/>
                <w:szCs w:val="14"/>
                <w:color w:val="auto"/>
              </w:rPr>
            </w:pP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estimated remediation costs</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48</w:t>
            </w:r>
          </w:p>
        </w:tc>
        <w:tc>
          <w:tcPr>
            <w:tcW w:w="7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8"/>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years of remediation</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years of remediation</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7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spacing w:after="0" w:line="240" w:lineRule="exact"/>
        <w:rPr>
          <w:sz w:val="20"/>
          <w:szCs w:val="20"/>
          <w:color w:val="auto"/>
        </w:rPr>
      </w:pPr>
    </w:p>
    <w:p>
      <w:pPr>
        <w:ind w:right="680" w:firstLine="255"/>
        <w:spacing w:after="0" w:line="287" w:lineRule="auto"/>
        <w:rPr>
          <w:sz w:val="20"/>
          <w:szCs w:val="20"/>
          <w:color w:val="auto"/>
        </w:rPr>
      </w:pPr>
      <w:r>
        <w:rPr>
          <w:rFonts w:ascii="Times New Roman" w:cs="Times New Roman" w:eastAsia="Times New Roman" w:hAnsi="Times New Roman"/>
          <w:sz w:val="14"/>
          <w:szCs w:val="14"/>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45"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do not expect the ultimate outcome of these matters to have a material adverse effect on the financial condition, results of operations or cash flows of either CenterPoint Energy or CERC.</w:t>
      </w:r>
    </w:p>
    <w:p>
      <w:pPr>
        <w:spacing w:after="0" w:line="17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Asbestos. </w:t>
      </w:r>
      <w:r>
        <w:rPr>
          <w:rFonts w:ascii="Times New Roman" w:cs="Times New Roman" w:eastAsia="Times New Roman" w:hAnsi="Times New Roman"/>
          <w:sz w:val="14"/>
          <w:szCs w:val="14"/>
          <w:color w:val="auto"/>
        </w:rPr>
        <w:t>Some facilities owned by the Registrants or their predecessors contain or have contained asbestos insulation and other asbestos-containing materials. The Registrants are from time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156" w:lineRule="exact"/>
        <w:rPr>
          <w:sz w:val="20"/>
          <w:szCs w:val="20"/>
          <w:color w:val="auto"/>
        </w:rPr>
      </w:pPr>
    </w:p>
    <w:p>
      <w:pPr>
        <w:ind w:right="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CCR Rule (CenterPoint Energy). </w:t>
      </w:r>
      <w:r>
        <w:rPr>
          <w:rFonts w:ascii="Times New Roman" w:cs="Times New Roman" w:eastAsia="Times New Roman" w:hAnsi="Times New Roman"/>
          <w:sz w:val="14"/>
          <w:szCs w:val="14"/>
          <w:color w:val="auto"/>
        </w:rPr>
        <w:t>In April 2015, the EPA finalized the CCR Rule. The final rule allows beneficial reuse of ash, and a portion of the ash generated by Indiana Electric’s generating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plants will continue to be reused.</w:t>
      </w:r>
    </w:p>
    <w:p>
      <w:pPr>
        <w:spacing w:after="0" w:line="14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Indiana Electric historically operated three ash ponds, two at the F.B. Culley facility (Culley East and Culley West) and one at the A.B. Brown facility. Under the CCR Rule, Indiana Electric is required to perform integrity assessments, including ground water monitoring, at its F.B. Culley and A.B. Brown generating stations. Pursuant to the CCR Rule, both the Culley East and A.B. Brown facilities were taken out of service in a timely manner per the commitments made to the EPA in the extension requests filed for both ponds.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168"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On November 1, 2022, Indiana Electric filed for a CPCN to recover federally mandated costs associated with closure of the Culley East Pond, its third and final ash pond. Indiana Electric sought accounting and ratemaking relief for the project, and on June 8, 2023, Indiana Electric filed a revised CPCN for recovery of the federally mandated ash pond costs. On February 7, 2024 the IURC approved the federally mandated costs, both incurred and projected, of $52 million in capital costs, plus an estimated $133,000 in annual operation and maintenance expenses, for recovery through the ECA. Following approval of its most recent rate case, this project is now being recovered through base rates.</w:t>
      </w:r>
    </w:p>
    <w:p>
      <w:pPr>
        <w:spacing w:after="0" w:line="162"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CenterPoint Energy had recorded an approximate $175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80" w:name="page181"/>
    <w:bookmarkEnd w:id="180"/>
    <w:p>
      <w:pPr>
        <w:spacing w:after="0" w:line="287" w:lineRule="auto"/>
        <w:rPr>
          <w:sz w:val="20"/>
          <w:szCs w:val="20"/>
          <w:color w:val="auto"/>
        </w:rPr>
      </w:pPr>
      <w:r>
        <w:rPr>
          <w:rFonts w:ascii="Times New Roman" w:cs="Times New Roman" w:eastAsia="Times New Roman" w:hAnsi="Times New Roman"/>
          <w:sz w:val="14"/>
          <w:szCs w:val="14"/>
          <w:color w:val="auto"/>
        </w:rPr>
        <w:t>the settlements in a previously settled insurance proceedings. In addition to these AROs, Indiana Electric also anticipates equipment purchases of between $60 million and $80 million to complete the A.B. Brown closure project.</w:t>
      </w:r>
    </w:p>
    <w:p>
      <w:pPr>
        <w:spacing w:after="0" w:line="145"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4"/>
          <w:szCs w:val="14"/>
          <w:color w:val="auto"/>
        </w:rPr>
        <w:t>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certain sites in Indiana for further evaluation. During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w:t>
      </w:r>
    </w:p>
    <w:p>
      <w:pPr>
        <w:spacing w:after="0" w:line="166"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Clean Water Act Permitting and Power Plant Discharges</w:t>
      </w:r>
      <w:r>
        <w:rPr>
          <w:rFonts w:ascii="Times New Roman" w:cs="Times New Roman" w:eastAsia="Times New Roman" w:hAnsi="Times New Roman"/>
          <w:sz w:val="14"/>
          <w:szCs w:val="14"/>
          <w:color w:val="auto"/>
        </w:rPr>
        <w:t>. In 2015, the EPA finalized revisions to the existing steam electric wastewater discharge standards which set more stringent wastewater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discharge limits and effectively prohibited further wet disposal of coal ash in ash ponds. In February 2019, the IURC approved Indiana Electric’s Effluent Limitation Guidelines Compliance Plan for its F.B. Culley Generating Station, which was completed in compliance with the requirements of the Effluent Limitation Guidelines. On April 25, 2024, the EPA released its final Supplemental Effluent Limitation Guidelines and Standards for the Steam Electric Generating Point Source Category. On December 31, 2025, the EPA published a final rule extending various deadlines and other provisions of the 2024 Supplemental Effluent Limitation Guidelines. The Registrants currently anticipate that they will be in compliance with the Supplemental Effluent Limitation Guidelines at the Culley facility due to previous wastewater treatment upgrades.</w:t>
      </w:r>
    </w:p>
    <w:p>
      <w:pPr>
        <w:spacing w:after="0" w:line="163"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Other Environmental. </w:t>
      </w:r>
      <w:r>
        <w:rPr>
          <w:rFonts w:ascii="Times New Roman" w:cs="Times New Roman" w:eastAsia="Times New Roman" w:hAnsi="Times New Roman"/>
          <w:sz w:val="14"/>
          <w:szCs w:val="14"/>
          <w:color w:val="auto"/>
        </w:rPr>
        <w:t>From time to time, the Registrants identify the presence of environmental contaminants during operations or on property where their predecessors have conducted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Proceedings</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Earnings Per Share (CenterPoint Energy)</w:t>
      </w:r>
    </w:p>
    <w:p>
      <w:pPr>
        <w:spacing w:after="0" w:line="202" w:lineRule="exact"/>
        <w:rPr>
          <w:sz w:val="20"/>
          <w:szCs w:val="20"/>
          <w:color w:val="auto"/>
        </w:rPr>
      </w:pPr>
    </w:p>
    <w:p>
      <w:pPr>
        <w:ind w:right="240" w:firstLine="255"/>
        <w:spacing w:after="0" w:line="264" w:lineRule="auto"/>
        <w:rPr>
          <w:sz w:val="20"/>
          <w:szCs w:val="20"/>
          <w:color w:val="auto"/>
        </w:rPr>
      </w:pPr>
      <w:r>
        <w:rPr>
          <w:rFonts w:ascii="Times New Roman" w:cs="Times New Roman" w:eastAsia="Times New Roman" w:hAnsi="Times New Roman"/>
          <w:sz w:val="14"/>
          <w:szCs w:val="14"/>
          <w:color w:val="auto"/>
        </w:rPr>
        <w:t>Basic earnings per common share is computed by dividing income available to common shareholders by the weighted average number of common shares outstanding during the period. Participating securities are excluded from weighted average number of common shares outstanding in the computation of basic earnings per common share. Diluted earnings per common share is computed by dividing income available to common shareholders by the weighted average number of common shares outstanding, including all potentially dilutive common shares, if the effect of such common shares is dilutive.</w:t>
      </w:r>
    </w:p>
    <w:p>
      <w:pPr>
        <w:spacing w:after="0" w:line="162"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Diluted earnings per common share reflects the dilutive effect of potential common shares from share-based awards. The dilutive effect of restricted stock is computed using the if-converted method, which assumes conversion of the restricted stock at the beginning of the period.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181" w:name="page182"/>
    <w:bookmarkEnd w:id="181"/>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Until settlement of the equity forwards executed in April 2025 and May 2025 as further described in Note 11, dilutive earnings per common share reflects the dilutive impact of potential issuances of shares of Common Stock associated with the outstanding equity forwards. The dilutive effect of equity forwards is determined under the treasury stock method. Share dilution occurs when the average market price of Common Stock is higher than the forward sales price at the end of the reporting period.</w:t>
      </w:r>
    </w:p>
    <w:p>
      <w:pPr>
        <w:spacing w:after="0" w:line="15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Diluted earnings per common share will also reflect the dilutive effect of potential conversions of our convertible notes into shares of Common Stock.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average market price of Common Stock is higher than the conversion price. The denominator of diluted earnings per common share is determined by dividing the conversion spread value of the share-settled portion of the convertible notes as of the reporting date by the average share price over the reporting period. For further details on the convertible notes, see Note 12.</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numerators and denominators of CenterPoint Energy’s basic and diluted earnings per common share for the periods presented:</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159"/>
        </w:trPr>
        <w:tc>
          <w:tcPr>
            <w:tcW w:w="6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8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 except per share and share amounts)</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0" w:type="dxa"/>
            <w:vAlign w:val="bottom"/>
          </w:tcPr>
          <w:p>
            <w:pPr>
              <w:spacing w:after="0"/>
              <w:rPr>
                <w:sz w:val="1"/>
                <w:szCs w:val="1"/>
                <w:color w:val="auto"/>
              </w:rPr>
            </w:pPr>
          </w:p>
        </w:tc>
      </w:tr>
      <w:tr>
        <w:trPr>
          <w:trHeight w:val="168"/>
        </w:trPr>
        <w:tc>
          <w:tcPr>
            <w:tcW w:w="6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Less: Preferred stock dividend requirement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6"/>
        </w:trPr>
        <w:tc>
          <w:tcPr>
            <w:tcW w:w="644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Income available to common shareholders - basic and diluted</w:t>
            </w:r>
          </w:p>
        </w:tc>
        <w:tc>
          <w:tcPr>
            <w:tcW w:w="340" w:type="dxa"/>
            <w:vAlign w:val="bottom"/>
            <w:tcBorders>
              <w:top w:val="single" w:sz="8" w:color="auto"/>
              <w:bottom w:val="single" w:sz="8" w:color="auto"/>
            </w:tcBorders>
            <w:shd w:val="clear" w:color="auto" w:fill="CCEEFF"/>
          </w:tcPr>
          <w:p>
            <w:pPr>
              <w:jc w:val="right"/>
              <w:ind w:right="1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41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867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4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652,671,000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643,163,000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630,947,000</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Plus: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stock</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974,000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2,232,000</w:t>
            </w:r>
          </w:p>
        </w:tc>
        <w:tc>
          <w:tcPr>
            <w:tcW w:w="0" w:type="dxa"/>
            <w:vAlign w:val="bottom"/>
          </w:tcPr>
          <w:p>
            <w:pPr>
              <w:spacing w:after="0"/>
              <w:rPr>
                <w:sz w:val="1"/>
                <w:szCs w:val="1"/>
                <w:color w:val="auto"/>
              </w:rPr>
            </w:pPr>
          </w:p>
        </w:tc>
      </w:tr>
      <w:tr>
        <w:trPr>
          <w:trHeight w:val="168"/>
        </w:trPr>
        <w:tc>
          <w:tcPr>
            <w:tcW w:w="6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forwards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Convertible notes (1)</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655,650,000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644,137,000</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633,179,000</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440" w:type="dxa"/>
            <w:vAlign w:val="bottom"/>
          </w:tcPr>
          <w:p>
            <w:pPr>
              <w:ind w:left="14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340" w:type="dxa"/>
            <w:vAlign w:val="bottom"/>
            <w:tcBorders>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4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Related to the 2026 Convertible 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Reportable Segments</w:t>
      </w:r>
    </w:p>
    <w:p>
      <w:pPr>
        <w:spacing w:after="0" w:line="202"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reportable segments by Registrant and information about each Registrant’s CODM were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02" w:lineRule="exact"/>
        <w:rPr>
          <w:sz w:val="20"/>
          <w:szCs w:val="20"/>
          <w:color w:val="auto"/>
        </w:rPr>
      </w:pPr>
    </w:p>
    <w:p>
      <w:pPr>
        <w:ind w:left="520" w:right="80" w:hanging="260"/>
        <w:spacing w:after="0" w:line="287" w:lineRule="auto"/>
        <w:tabs>
          <w:tab w:leader="none" w:pos="51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Electric reportable segment consisted of (i) electric transmission and distribution services in the Texas Gulf Coast area in the ERCOT region; (ii) electric transmission and distribution services primarily to southwestern Indiana, and (iii) power generation and wholesale power operations in the MISO region.</w:t>
      </w:r>
    </w:p>
    <w:p>
      <w:pPr>
        <w:spacing w:after="0" w:line="145" w:lineRule="exact"/>
        <w:rPr>
          <w:rFonts w:ascii="Times New Roman" w:cs="Times New Roman" w:eastAsia="Times New Roman" w:hAnsi="Times New Roman"/>
          <w:sz w:val="14"/>
          <w:szCs w:val="14"/>
          <w:color w:val="auto"/>
        </w:rPr>
      </w:pPr>
    </w:p>
    <w:p>
      <w:pPr>
        <w:ind w:left="520" w:right="60" w:hanging="260"/>
        <w:spacing w:after="0" w:line="270" w:lineRule="auto"/>
        <w:tabs>
          <w:tab w:leader="none" w:pos="51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Natural Gas reportable segment following the closing of the sale of the Louisiana and Mississippi natural gas LDC businesses on March 31, 2025 consisted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182" w:name="page183"/>
    <w:bookmarkEnd w:id="182"/>
    <w:p>
      <w:pPr>
        <w:ind w:left="520"/>
        <w:spacing w:after="0" w:line="270" w:lineRule="auto"/>
        <w:rPr>
          <w:sz w:val="20"/>
          <w:szCs w:val="20"/>
          <w:color w:val="auto"/>
        </w:rPr>
      </w:pPr>
      <w:r>
        <w:rPr>
          <w:rFonts w:ascii="Times New Roman" w:cs="Times New Roman" w:eastAsia="Times New Roman" w:hAnsi="Times New Roman"/>
          <w:sz w:val="14"/>
          <w:szCs w:val="14"/>
          <w:color w:val="auto"/>
        </w:rPr>
        <w:t>companies through CEIP. On October 20, 2025, CenterPoint Energy, through CERC Corp., entered into the Ohio Securities Purchase Agreement to sell all of the issued and outstanding equity interests in CEOH. The transaction is expected to close in the fourth quarter of 2026, subject to the satisfaction of customary closing conditions. For further information, see Note 4 to the consolidated financial statements.</w:t>
      </w:r>
    </w:p>
    <w:p>
      <w:pPr>
        <w:spacing w:after="0" w:line="157" w:lineRule="exact"/>
        <w:rPr>
          <w:sz w:val="20"/>
          <w:szCs w:val="20"/>
          <w:color w:val="auto"/>
        </w:rPr>
      </w:pPr>
    </w:p>
    <w:p>
      <w:pPr>
        <w:jc w:val="both"/>
        <w:ind w:left="520" w:right="100" w:hanging="260"/>
        <w:spacing w:after="0" w:line="270" w:lineRule="auto"/>
        <w:tabs>
          <w:tab w:leader="none" w:pos="516"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Corporate and Other reportable segment consisted of energy performance contracting and sustainable infrastructure services by Energy Systems Group through June 30, 2023, the date of the sale of Energy Systems Group, and corporate support operations that support all of CenterPoint Energy’s business operations. CenterPoint Energy’s Corporate and Other also includes office buildings and other real estate used for business operations.</w:t>
      </w:r>
    </w:p>
    <w:p>
      <w:pPr>
        <w:spacing w:after="0" w:line="157"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the President and Chief Executive Officer, evaluates performance for all of its reportable segments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left="520" w:right="60" w:hanging="260"/>
        <w:spacing w:after="0" w:line="287" w:lineRule="auto"/>
        <w:tabs>
          <w:tab w:leader="none" w:pos="51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single reportable segment consisted of electric transmission services to transmission service customers in the ERCOT region and distribution service to REPs serving the Texas Gulf Coast area that includes the city of Houston.</w:t>
      </w:r>
    </w:p>
    <w:p>
      <w:pPr>
        <w:spacing w:after="0" w:line="145"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Houston Electric’s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ind w:left="520" w:hanging="260"/>
        <w:spacing w:after="0" w:line="261" w:lineRule="auto"/>
        <w:tabs>
          <w:tab w:leader="none" w:pos="516"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CERC’s single reportable segment following the closing of the sale of the Louisiana and Mississippi natural gas LDC businesses on March 31, 2025 consisted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 On October 20, 2025, CenterPoint Energy, through CERC Corp., entered into the Ohio Securities Purchase Agreement to sell all of the issued and outstanding equity interests in CEOH. The transaction is expected to close in the fourth quarter of 2026, subject to the satisfaction of customary closing conditions. For further information, see Note 4 to the consolidated financial statements.</w:t>
      </w:r>
    </w:p>
    <w:p>
      <w:pPr>
        <w:spacing w:after="0" w:line="164"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CERC’s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Expenditures for long-lived assets include property, plant and equipment. Intersegment sales are eliminated in consolidation, except as described in Note 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30" w:right="379" w:bottom="1440" w:gutter="0" w:footer="0" w:header="0"/>
        </w:sectPr>
      </w:pPr>
    </w:p>
    <w:bookmarkStart w:id="183" w:name="page184"/>
    <w:bookmarkEnd w:id="183"/>
    <w:p>
      <w:pPr>
        <w:ind w:left="260"/>
        <w:spacing w:after="0"/>
        <w:rPr>
          <w:sz w:val="20"/>
          <w:szCs w:val="20"/>
          <w:color w:val="auto"/>
        </w:rPr>
      </w:pPr>
      <w:r>
        <w:rPr>
          <w:rFonts w:ascii="Times New Roman" w:cs="Times New Roman" w:eastAsia="Times New Roman" w:hAnsi="Times New Roman"/>
          <w:sz w:val="14"/>
          <w:szCs w:val="14"/>
          <w:color w:val="auto"/>
        </w:rPr>
        <w:t>Financial data for reportable segments is as follows for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Corporate and Other</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8"/>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90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4,866</w:t>
            </w:r>
          </w:p>
        </w:tc>
        <w:tc>
          <w:tcPr>
            <w:tcW w:w="2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4,483</w:t>
            </w:r>
          </w:p>
        </w:tc>
        <w:tc>
          <w:tcPr>
            <w:tcW w:w="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3"/>
            <w:shd w:val="clear" w:color="auto" w:fill="CCEEFF"/>
          </w:tcPr>
          <w:p>
            <w:pPr>
              <w:jc w:val="center"/>
              <w:ind w:left="69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9,357</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w w:val="92"/>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w w:val="92"/>
              </w:rPr>
              <w:t>(3)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69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left="69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69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left="69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left="756"/>
              <w:spacing w:after="0"/>
              <w:rPr>
                <w:sz w:val="20"/>
                <w:szCs w:val="20"/>
                <w:color w:val="auto"/>
              </w:rPr>
            </w:pPr>
            <w:r>
              <w:rPr>
                <w:rFonts w:ascii="Times New Roman" w:cs="Times New Roman" w:eastAsia="Times New Roman" w:hAnsi="Times New Roman"/>
                <w:sz w:val="13"/>
                <w:szCs w:val="13"/>
                <w:color w:val="auto"/>
                <w:w w:val="92"/>
              </w:rPr>
              <w:t>(32)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776"/>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69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left="69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60"/>
        </w:trPr>
        <w:tc>
          <w:tcPr>
            <w:tcW w:w="3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center"/>
              <w:ind w:left="7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2024</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8"/>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90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4,590</w:t>
            </w:r>
          </w:p>
        </w:tc>
        <w:tc>
          <w:tcPr>
            <w:tcW w:w="2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3"/>
            <w:shd w:val="clear" w:color="auto" w:fill="CCEEFF"/>
          </w:tcPr>
          <w:p>
            <w:pPr>
              <w:jc w:val="center"/>
              <w:ind w:left="7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8,643</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73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2,072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left="73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73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left="73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net (2)</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73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left="73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60"/>
        </w:trPr>
        <w:tc>
          <w:tcPr>
            <w:tcW w:w="3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tcBorders>
              <w:top w:val="single" w:sz="8" w:color="auto"/>
              <w:bottom w:val="single" w:sz="8" w:color="auto"/>
            </w:tcBorders>
            <w:gridSpan w:val="2"/>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gridSpan w:val="2"/>
          </w:tcPr>
          <w:p>
            <w:pPr>
              <w:jc w:val="center"/>
              <w:ind w:left="79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2023</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18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80" w:type="dxa"/>
            <w:vAlign w:val="bottom"/>
          </w:tcPr>
          <w:p>
            <w:pPr>
              <w:spacing w:after="0"/>
              <w:rPr>
                <w:sz w:val="10"/>
                <w:szCs w:val="10"/>
                <w:color w:val="auto"/>
              </w:rPr>
            </w:pPr>
          </w:p>
        </w:tc>
        <w:tc>
          <w:tcPr>
            <w:tcW w:w="96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8,696</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8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60"/>
        </w:trPr>
        <w:tc>
          <w:tcPr>
            <w:tcW w:w="3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20" w:right="540" w:hanging="260"/>
        <w:spacing w:after="0" w:line="263" w:lineRule="auto"/>
        <w:tabs>
          <w:tab w:leader="none" w:pos="46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from Securitization Bonds of $1 million, $3 million, and $4 million for the years ended December 31, 2025, 2024 and 2023, respectively, is included in Other income (expense), net on CenterPoint Energy’s Statements of Consolidated Income.</w:t>
      </w:r>
    </w:p>
    <w:p>
      <w:pPr>
        <w:ind w:left="520" w:right="540" w:hanging="260"/>
        <w:spacing w:after="0" w:line="266" w:lineRule="auto"/>
        <w:tabs>
          <w:tab w:leader="none" w:pos="46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(expense), net primarily includes AFUDC equity, non-service cost for pension and postretirement benefits, Gain (loss) on equity securities, Gain (loss) on indexed debt securities and Gain (loss) on sale.</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left="636"/>
              <w:spacing w:after="0"/>
              <w:rPr>
                <w:sz w:val="20"/>
                <w:szCs w:val="20"/>
                <w:color w:val="auto"/>
              </w:rPr>
            </w:pPr>
            <w:r>
              <w:rPr>
                <w:rFonts w:ascii="Times New Roman" w:cs="Times New Roman" w:eastAsia="Times New Roman" w:hAnsi="Times New Roman"/>
                <w:sz w:val="13"/>
                <w:szCs w:val="13"/>
                <w:b w:val="1"/>
                <w:bCs w:val="1"/>
                <w:color w:val="auto"/>
                <w:w w:val="98"/>
              </w:rPr>
              <w:t>Expenditures for Long-lived Assets</w:t>
            </w:r>
          </w:p>
        </w:tc>
        <w:tc>
          <w:tcPr>
            <w:tcW w:w="900" w:type="dxa"/>
            <w:vAlign w:val="bottom"/>
            <w:tcBorders>
              <w:bottom w:val="single" w:sz="8" w:color="auto"/>
            </w:tcBorders>
          </w:tcPr>
          <w:p>
            <w:pPr>
              <w:spacing w:after="0"/>
              <w:rPr>
                <w:sz w:val="14"/>
                <w:szCs w:val="14"/>
                <w:color w:val="auto"/>
              </w:rPr>
            </w:pPr>
          </w:p>
        </w:tc>
      </w:tr>
      <w:tr>
        <w:trPr>
          <w:trHeight w:val="161"/>
        </w:trPr>
        <w:tc>
          <w:tcPr>
            <w:tcW w:w="4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0"/>
        </w:trPr>
        <w:tc>
          <w:tcPr>
            <w:tcW w:w="418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4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Electric</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w:t>
            </w: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Natural Gas</w:t>
            </w:r>
          </w:p>
        </w:tc>
        <w:tc>
          <w:tcPr>
            <w:tcW w:w="7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r>
      <w:tr>
        <w:trPr>
          <w:trHeight w:val="17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Other, net of eliminations (1)</w:t>
            </w:r>
          </w:p>
        </w:tc>
        <w:tc>
          <w:tcPr>
            <w:tcW w:w="7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0"/>
        </w:trPr>
        <w:tc>
          <w:tcPr>
            <w:tcW w:w="41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Consolidated</w:t>
            </w:r>
          </w:p>
        </w:tc>
        <w:tc>
          <w:tcPr>
            <w:tcW w:w="7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46,534</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43,768</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4,649</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4,370</w:t>
            </w:r>
          </w:p>
        </w:tc>
      </w:tr>
      <w:tr>
        <w:trPr>
          <w:trHeight w:val="20"/>
        </w:trPr>
        <w:tc>
          <w:tcPr>
            <w:tcW w:w="4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Total assets included pension and other postemployment-related regulatory assets of $383 million and $384 million as of December 31,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Houston Electric consists of a single reportable segment. For financial data related to income and expenses for the single reportable segment, see Houston Electric’s Statements of Consolidated Income. For financial data related to segment total assets, see Houston Electric’s Consolidated Balance Sheets. Financial data related to interest income and expenditures for long-lived assets is as follows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16</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5"/>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9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2,918</w:t>
            </w:r>
          </w:p>
        </w:tc>
        <w:tc>
          <w:tcPr>
            <w:tcW w:w="300" w:type="dxa"/>
            <w:vAlign w:val="bottom"/>
          </w:tcPr>
          <w:p>
            <w:pPr>
              <w:spacing w:after="0"/>
              <w:rPr>
                <w:sz w:val="14"/>
                <w:szCs w:val="1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2,738</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2,309</w:t>
            </w:r>
          </w:p>
        </w:tc>
      </w:tr>
    </w:tbl>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Reflected in Other income (expense), net on Houston Electric’s Statements of Consolidated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85" w:name="page186"/>
    <w:bookmarkEnd w:id="185"/>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CERC consists of a single reportable segment. For financial data related to income and expenses for the single reportable segment, see CERC’s Statements of Consolidated Income. For financial data related to segment total assets, see CERC’s Consolidated Balance Sheets. Financial data related to interest income and expenditures for long-lived assets is as follows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5"/>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9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1,581</w:t>
            </w:r>
          </w:p>
        </w:tc>
        <w:tc>
          <w:tcPr>
            <w:tcW w:w="300" w:type="dxa"/>
            <w:vAlign w:val="bottom"/>
          </w:tcPr>
          <w:p>
            <w:pPr>
              <w:spacing w:after="0"/>
              <w:rPr>
                <w:sz w:val="14"/>
                <w:szCs w:val="1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1,485</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w:t>
            </w:r>
          </w:p>
        </w:tc>
      </w:tr>
    </w:tbl>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Reflected in Other income (expense), net on CERC’s Statements of Consolidated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Major Customers (Houston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Electric’s revenues from major external customers are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Affiliates of NRG</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1,229</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1,169</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w:t>
            </w:r>
          </w:p>
        </w:tc>
      </w:tr>
      <w:tr>
        <w:trPr>
          <w:trHeight w:val="165"/>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Affiliates of Vistra Energy Corp.</w:t>
            </w:r>
          </w:p>
        </w:tc>
        <w:tc>
          <w:tcPr>
            <w:tcW w:w="9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693</w:t>
            </w:r>
          </w:p>
        </w:tc>
        <w:tc>
          <w:tcPr>
            <w:tcW w:w="300" w:type="dxa"/>
            <w:vAlign w:val="bottom"/>
          </w:tcPr>
          <w:p>
            <w:pPr>
              <w:spacing w:after="0"/>
              <w:rPr>
                <w:sz w:val="14"/>
                <w:szCs w:val="1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605</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 by Products and Services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00" w:type="dxa"/>
            <w:vAlign w:val="bottom"/>
          </w:tcPr>
          <w:p>
            <w:pPr>
              <w:spacing w:after="0"/>
              <w:rPr>
                <w:sz w:val="9"/>
                <w:szCs w:val="9"/>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Electric</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Electric</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Electric delivery</w:t>
            </w: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Retail electric sales</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Wholesale electric sales</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Retail gas sales</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4,126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3,951</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Gas transportation</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20"/>
                <w:szCs w:val="20"/>
                <w:color w:val="auto"/>
              </w:rPr>
            </w:pPr>
            <w:r>
              <w:rPr>
                <w:rFonts w:ascii="Times New Roman" w:cs="Times New Roman" w:eastAsia="Times New Roman" w:hAnsi="Times New Roman"/>
                <w:sz w:val="11"/>
                <w:szCs w:val="11"/>
                <w:color w:val="auto"/>
              </w:rPr>
              <w:t>Energy products and services</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0" w:type="dxa"/>
            <w:vAlign w:val="bottom"/>
          </w:tcPr>
          <w:p>
            <w:pPr>
              <w:spacing w:after="0"/>
              <w:rPr>
                <w:sz w:val="1"/>
                <w:szCs w:val="1"/>
                <w:color w:val="auto"/>
              </w:rPr>
            </w:pPr>
          </w:p>
        </w:tc>
      </w:tr>
      <w:tr>
        <w:trPr>
          <w:trHeight w:val="181"/>
        </w:trPr>
        <w:tc>
          <w:tcPr>
            <w:tcW w:w="26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40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4,149</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color w:val="auto"/>
        </w:rPr>
        <w:t>(17) Supplemental Disclosure of Cash Flow and Balance Sheet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Disclosure of Cash Flow Information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tables below provide supplemental disclosure of cash flow information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80" w:type="dxa"/>
            <w:vAlign w:val="bottom"/>
          </w:tcPr>
          <w:p>
            <w:pPr>
              <w:spacing w:after="0"/>
              <w:rPr>
                <w:sz w:val="9"/>
                <w:szCs w:val="9"/>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64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2580" w:type="dxa"/>
            <w:vAlign w:val="bottom"/>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Electric</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Payments (Refunds):</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net of capitalized interest</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392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0" w:type="dxa"/>
            <w:vAlign w:val="bottom"/>
          </w:tcPr>
          <w:p>
            <w:pPr>
              <w:spacing w:after="0"/>
              <w:rPr>
                <w:sz w:val="1"/>
                <w:szCs w:val="1"/>
                <w:color w:val="auto"/>
              </w:rPr>
            </w:pPr>
          </w:p>
        </w:tc>
      </w:tr>
      <w:tr>
        <w:trPr>
          <w:trHeight w:val="153"/>
        </w:trPr>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taxes</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Federal income taxes</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0" w:type="dxa"/>
            <w:vAlign w:val="bottom"/>
          </w:tcPr>
          <w:p>
            <w:pPr>
              <w:spacing w:after="0"/>
              <w:rPr>
                <w:sz w:val="1"/>
                <w:szCs w:val="1"/>
                <w:color w:val="auto"/>
              </w:rPr>
            </w:pPr>
          </w:p>
        </w:tc>
      </w:tr>
      <w:tr>
        <w:trPr>
          <w:trHeight w:val="153"/>
        </w:trPr>
        <w:tc>
          <w:tcPr>
            <w:tcW w:w="2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State income taxes</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Indiana</w:t>
            </w: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Louisiana</w:t>
            </w: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New Mexico</w:t>
            </w:r>
          </w:p>
        </w:tc>
        <w:tc>
          <w:tcPr>
            <w:tcW w:w="4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Texas</w:t>
            </w:r>
          </w:p>
        </w:tc>
        <w:tc>
          <w:tcPr>
            <w:tcW w:w="4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Minnesota</w:t>
            </w: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1"/>
                <w:szCs w:val="11"/>
                <w:color w:val="auto"/>
              </w:rPr>
              <w:t>Other states</w:t>
            </w: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81"/>
        </w:trPr>
        <w:tc>
          <w:tcPr>
            <w:tcW w:w="2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income tax payments (refunds), net (1)</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Non-cash transactions: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5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Accounts payable related to capital expenditures</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367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0" w:type="dxa"/>
            <w:vAlign w:val="bottom"/>
          </w:tcPr>
          <w:p>
            <w:pPr>
              <w:spacing w:after="0"/>
              <w:rPr>
                <w:sz w:val="1"/>
                <w:szCs w:val="1"/>
                <w:color w:val="auto"/>
              </w:rPr>
            </w:pPr>
          </w:p>
        </w:tc>
      </w:tr>
      <w:tr>
        <w:trPr>
          <w:trHeight w:val="106"/>
        </w:trPr>
        <w:tc>
          <w:tcPr>
            <w:tcW w:w="2580" w:type="dxa"/>
            <w:vAlign w:val="bottom"/>
          </w:tcPr>
          <w:p>
            <w:pPr>
              <w:ind w:left="80"/>
              <w:spacing w:after="0" w:line="106" w:lineRule="exact"/>
              <w:rPr>
                <w:sz w:val="20"/>
                <w:szCs w:val="20"/>
                <w:color w:val="auto"/>
              </w:rPr>
            </w:pPr>
            <w:r>
              <w:rPr>
                <w:rFonts w:ascii="Times New Roman" w:cs="Times New Roman" w:eastAsia="Times New Roman" w:hAnsi="Times New Roman"/>
                <w:sz w:val="11"/>
                <w:szCs w:val="11"/>
                <w:color w:val="auto"/>
              </w:rPr>
              <w:t>ROU assets obtained in exchange for lease liabilities</w:t>
            </w:r>
          </w:p>
        </w:tc>
        <w:tc>
          <w:tcPr>
            <w:tcW w:w="4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9"/>
                <w:szCs w:val="9"/>
                <w:color w:val="auto"/>
              </w:rPr>
            </w:pPr>
          </w:p>
        </w:tc>
        <w:tc>
          <w:tcPr>
            <w:tcW w:w="1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4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9"/>
                <w:szCs w:val="9"/>
                <w:color w:val="auto"/>
              </w:rPr>
            </w:pPr>
          </w:p>
        </w:tc>
        <w:tc>
          <w:tcPr>
            <w:tcW w:w="4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5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(2)</w:t>
            </w:r>
          </w:p>
        </w:tc>
        <w:tc>
          <w:tcPr>
            <w:tcW w:w="4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20" w:right="260" w:hanging="260"/>
        <w:spacing w:after="0" w:line="263" w:lineRule="auto"/>
        <w:tabs>
          <w:tab w:leader="none" w:pos="465"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$215 million income tax payments in 2023 were attributable to recovery of extraordinary gas costs incurred in the February 2021 Winter Storm through the Railroad Commission ordered securitization.</w:t>
      </w:r>
    </w:p>
    <w:p>
      <w:pPr>
        <w:ind w:left="520" w:right="180" w:hanging="260"/>
        <w:spacing w:after="0" w:line="259" w:lineRule="auto"/>
        <w:tabs>
          <w:tab w:leader="none" w:pos="465"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ROU assets obtained through prepayment of the lease liabilities; see Note 19 for additional detail on ROU assets as of the periods presented. Amounts presented for CenterPoint Energy and CERC include ROU assets and lease liabilities derecognized as part of the sale of the Louisiana and Mississippi natural gas LDC businesses on March 31, 2025; see Note 4 for additional detail on the transaction.</w:t>
      </w:r>
    </w:p>
    <w:p>
      <w:pPr>
        <w:spacing w:after="0" w:line="165"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 table below provides a reconciliation of cash, cash equivalents and restricted cash reported in the Consolidated Balance Sheets to the amount reported in the Statements of Consolidated Cash Flows for the periods presented:</w:t>
      </w:r>
    </w:p>
    <w:p>
      <w:pPr>
        <w:sectPr>
          <w:pgSz w:w="11900" w:h="16838" w:orient="portrait"/>
          <w:cols w:equalWidth="0" w:num="1">
            <w:col w:w="11280"/>
          </w:cols>
          <w:pgMar w:left="300" w:top="727" w:right="31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Cash and cash equivalents (1)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Restricted cash included in Prepaid expenses and other current assets (2)</w:t>
      </w:r>
    </w:p>
    <w:p>
      <w:pPr>
        <w:spacing w:after="0" w:line="33" w:lineRule="exact"/>
        <w:rPr>
          <w:sz w:val="20"/>
          <w:szCs w:val="20"/>
          <w:color w:val="auto"/>
        </w:rPr>
      </w:pPr>
    </w:p>
    <w:p>
      <w:pPr>
        <w:ind w:left="400" w:hanging="126"/>
        <w:spacing w:after="0" w:line="239" w:lineRule="auto"/>
        <w:rPr>
          <w:sz w:val="20"/>
          <w:szCs w:val="20"/>
          <w:color w:val="auto"/>
        </w:rPr>
      </w:pPr>
      <w:r>
        <w:rPr>
          <w:rFonts w:ascii="Times New Roman" w:cs="Times New Roman" w:eastAsia="Times New Roman" w:hAnsi="Times New Roman"/>
          <w:sz w:val="11"/>
          <w:szCs w:val="11"/>
          <w:color w:val="auto"/>
        </w:rPr>
        <w:t>Total cash, cash equivalents and restricted cash shown in Statements of Consolidated Cash Flows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45"/>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7"/>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4"/>
        </w:trPr>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21"/>
        </w:trPr>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-410210</wp:posOffset>
            </wp:positionV>
            <wp:extent cx="7127875" cy="1143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27875" cy="11430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-180975</wp:posOffset>
            </wp:positionV>
            <wp:extent cx="7127875" cy="168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4360" w:space="100"/>
            <w:col w:w="6820"/>
          </w:cols>
          <w:pgMar w:left="300" w:top="727" w:right="319" w:bottom="1440" w:gutter="0" w:footer="0" w:header="0"/>
          <w:type w:val="continuous"/>
        </w:sectPr>
      </w:pPr>
    </w:p>
    <w:p>
      <w:pPr>
        <w:ind w:left="520" w:right="260" w:hanging="260"/>
        <w:spacing w:after="0" w:line="263" w:lineRule="auto"/>
        <w:tabs>
          <w:tab w:leader="none" w:pos="515"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related to VIEs as of December 31, 2025 and 2024 included $34 million and $21 million, respectively, at CenterPoint Energy and $25 million and $14 million, respectively, at Houston Electric.</w:t>
      </w:r>
    </w:p>
    <w:p>
      <w:pPr>
        <w:ind w:left="520" w:right="560" w:hanging="260"/>
        <w:spacing w:after="0" w:line="266" w:lineRule="auto"/>
        <w:tabs>
          <w:tab w:leader="none" w:pos="515"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primarily related to accounts established by CenterPoint Energy and Houston Electric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Disclosure of Balance Sheet Information</w:t>
      </w:r>
    </w:p>
    <w:p>
      <w:pPr>
        <w:spacing w:after="0" w:line="202"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Included in other current liabilities on Houston Electric’s Consolidated Balance Sheets as of December 31, 2025 and 2024 was $119 million and $85 million, respectively, of builder deposits. Included in other current liabilities on CERC’s Consolidated Balance Sheets as of December 31, 2025 and 2024 was $80 million and $98 million, respectively, of credits related to customers on budget billing programs.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Related Party Transactions (Houston Electric and CERC)</w:t>
      </w:r>
    </w:p>
    <w:p>
      <w:pPr>
        <w:spacing w:after="0" w:line="2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as of the dates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40" w:type="dxa"/>
            <w:vAlign w:val="bottom"/>
            <w:tcBorders>
              <w:bottom w:val="single" w:sz="8" w:color="auto"/>
            </w:tcBorders>
          </w:tcPr>
          <w:p>
            <w:pPr>
              <w:spacing w:after="0"/>
              <w:rPr>
                <w:sz w:val="14"/>
                <w:szCs w:val="14"/>
                <w:color w:val="auto"/>
              </w:rPr>
            </w:pPr>
          </w:p>
        </w:tc>
      </w:tr>
      <w:tr>
        <w:trPr>
          <w:trHeight w:val="161"/>
        </w:trPr>
        <w:tc>
          <w:tcPr>
            <w:tcW w:w="4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780" w:type="dxa"/>
            <w:vAlign w:val="bottom"/>
            <w:gridSpan w:val="4"/>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(in millions, except interest rates)</w:t>
            </w: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(borrowings) (1)</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(54)</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368</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interest rate</w:t>
            </w:r>
          </w:p>
        </w:tc>
        <w:tc>
          <w:tcPr>
            <w:tcW w:w="200" w:type="dxa"/>
            <w:vAlign w:val="bottom"/>
          </w:tcPr>
          <w:p>
            <w:pPr>
              <w:spacing w:after="0"/>
              <w:rPr>
                <w:sz w:val="14"/>
                <w:szCs w:val="14"/>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3.83 %</w:t>
            </w: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4.65 %</w:t>
            </w:r>
          </w:p>
        </w:tc>
        <w:tc>
          <w:tcPr>
            <w:tcW w:w="580" w:type="dxa"/>
            <w:vAlign w:val="bottom"/>
          </w:tcPr>
          <w:p>
            <w:pPr>
              <w:spacing w:after="0"/>
              <w:rPr>
                <w:sz w:val="14"/>
                <w:szCs w:val="14"/>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5"/>
              </w:rPr>
              <w:t>— %</w:t>
            </w:r>
          </w:p>
        </w:tc>
      </w:tr>
    </w:tbl>
    <w:p>
      <w:pPr>
        <w:spacing w:after="0" w:line="244" w:lineRule="exact"/>
        <w:rPr>
          <w:sz w:val="20"/>
          <w:szCs w:val="20"/>
          <w:color w:val="auto"/>
        </w:rPr>
      </w:pPr>
    </w:p>
    <w:p>
      <w:pPr>
        <w:ind w:left="520" w:right="200" w:hanging="260"/>
        <w:spacing w:after="0" w:line="287" w:lineRule="auto"/>
        <w:tabs>
          <w:tab w:leader="none" w:pos="515"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and notes payable–affiliated companies in Houston Electric’s and CERC’s respective Consolidated Balance Sheets as of December 31, 2025 and Accounts and notes receivable–affiliated companies in Houston Electric’s Consolidated Balance Sheets as of December 31, 2024, as applicable.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affiliate-related transactions were as follows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48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Borders>
              <w:bottom w:val="single" w:sz="8" w:color="auto"/>
            </w:tcBorders>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4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net (1)</w:t>
            </w: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Interest income is included in Other, net on Houston Electric’s and CERC’s respective Statements of Consolidated Income.</w:t>
      </w:r>
    </w:p>
    <w:p>
      <w:pPr>
        <w:spacing w:after="0" w:line="200"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88" w:name="page189"/>
    <w:bookmarkEnd w:id="188"/>
    <w:p>
      <w:pPr>
        <w:ind w:left="260"/>
        <w:spacing w:after="0"/>
        <w:rPr>
          <w:sz w:val="20"/>
          <w:szCs w:val="20"/>
          <w:color w:val="auto"/>
        </w:rPr>
      </w:pPr>
      <w:r>
        <w:rPr>
          <w:rFonts w:ascii="Times New Roman" w:cs="Times New Roman" w:eastAsia="Times New Roman" w:hAnsi="Times New Roman"/>
          <w:sz w:val="14"/>
          <w:szCs w:val="14"/>
          <w:color w:val="auto"/>
        </w:rPr>
        <w:t>The table below presents amounts charged for these services, which are included primarily in Operation and maintenance expenses on Houston Electric’s and CERC’s respective Statements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Income,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4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Borders>
              <w:bottom w:val="single" w:sz="8" w:color="auto"/>
            </w:tcBorders>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4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service charges</w:t>
            </w: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201</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173</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173</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65"/>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Affiliate service charges (billings), net</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(10)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Leases</w:t>
      </w:r>
    </w:p>
    <w:p>
      <w:pPr>
        <w:spacing w:after="0" w:line="191"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In 2021, Houston Electric entered into a temporary short-term lease and long-term leases for TEEEF. The short-term lease agreement expired on December 31, 2022. Effective January 1, 2023, all TEEEF assets were leased under the long-term lease agreement. Expenses associated with the short-term lease, including carrying costs, are deferred to a regulatory asset and totaled $78 million and $89 million as of December 31, 2025 and 2024, respectively.</w:t>
      </w:r>
    </w:p>
    <w:p>
      <w:pPr>
        <w:spacing w:after="0" w:line="157"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The long-term lease agreement includes up to 519 MW of TEEEF, all of which was delivered as of December 31, 2022, triggering lease commencement at delivery, with an initial term ending in 2029 for all TEEEF leases. The remaining finance lease liability associated with the commenced long-term TEEEF agreement was not significant as of December 31, 2025 and 2024 and relates to removal costs that will be incurred at the end of the lease term. As of December 31, 2025, Houston Electric had secured a first lien on all the assets leased under the prepayment agreement. For TEEEF units included within the rate-regulated utilities, expenses associated with the long-term lease, including variable costs associated with the operation and maintenance of the TEEEF assets, depreciation expense on the right of use asset and carrying costs, are deferred to a regulatory asset as a recoverable cost under the 2021 Texas legislation and totaled $123 million and $158 million as of December 31, 2025 and 2024, respectively. For further discussion of the regulatory impacts, see Note 7.</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lease cost, included in Operation and maintenance expense on the Registrants’ respective Statements of Consolidated Income, are as follows for the periods presented: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60" w:type="dxa"/>
            <w:vAlign w:val="bottom"/>
          </w:tcPr>
          <w:p>
            <w:pPr>
              <w:spacing w:after="0"/>
              <w:rPr>
                <w:sz w:val="9"/>
                <w:szCs w:val="9"/>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right"/>
              <w:ind w:right="32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4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0" w:type="dxa"/>
            <w:vAlign w:val="bottom"/>
          </w:tcPr>
          <w:p>
            <w:pPr>
              <w:spacing w:after="0"/>
              <w:rPr>
                <w:sz w:val="9"/>
                <w:szCs w:val="9"/>
                <w:color w:val="auto"/>
              </w:rPr>
            </w:pPr>
          </w:p>
        </w:tc>
        <w:tc>
          <w:tcPr>
            <w:tcW w:w="6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right"/>
              <w:ind w:right="30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cost</w:t>
            </w: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7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lease cost</w:t>
            </w:r>
          </w:p>
        </w:tc>
        <w:tc>
          <w:tcPr>
            <w:tcW w:w="4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lease cost (1)</w:t>
            </w:r>
          </w:p>
        </w:tc>
        <w:tc>
          <w:tcPr>
            <w:tcW w:w="48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70" w:lineRule="auto"/>
        <w:tabs>
          <w:tab w:leader="none" w:pos="466"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TEEEF units included within the rate-regulated utilities, CenterPoint Energy and Houston Electric defer finance lease costs for TEEEF to Regulatory assets for recovery rather than to Depreciation and amortization in the Statements of Consolidated Income. For the year ended December 31, 2025, CenterPoint Energy and Houston Electric recognized $59 million of finance lease cost within Depreciation and amortization in the Statements of Consolidated Income, which represents the period of time certain TEEEF units were not eligible for regulatory deferral.</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lease income were as follows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60" w:type="dxa"/>
            <w:vAlign w:val="bottom"/>
          </w:tcPr>
          <w:p>
            <w:pPr>
              <w:spacing w:after="0"/>
              <w:rPr>
                <w:sz w:val="9"/>
                <w:szCs w:val="9"/>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right"/>
              <w:ind w:right="32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4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0" w:type="dxa"/>
            <w:vAlign w:val="bottom"/>
          </w:tcPr>
          <w:p>
            <w:pPr>
              <w:spacing w:after="0"/>
              <w:rPr>
                <w:sz w:val="9"/>
                <w:szCs w:val="9"/>
                <w:color w:val="auto"/>
              </w:rPr>
            </w:pPr>
          </w:p>
        </w:tc>
        <w:tc>
          <w:tcPr>
            <w:tcW w:w="6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right"/>
              <w:ind w:right="30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income</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7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Variable lease income</w:t>
            </w:r>
          </w:p>
        </w:tc>
        <w:tc>
          <w:tcPr>
            <w:tcW w:w="4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lease income</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9" w:name="page190"/>
    <w:bookmarkEnd w:id="189"/>
    <w:p>
      <w:pPr>
        <w:ind w:left="260"/>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 as of the dates presented:</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Pr>
          <w:p>
            <w:pPr>
              <w:spacing w:after="0"/>
              <w:rPr>
                <w:sz w:val="10"/>
                <w:szCs w:val="10"/>
                <w:color w:val="auto"/>
              </w:rPr>
            </w:pPr>
          </w:p>
        </w:tc>
        <w:tc>
          <w:tcPr>
            <w:tcW w:w="106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22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00" w:type="dxa"/>
            <w:vAlign w:val="bottom"/>
          </w:tcPr>
          <w:p>
            <w:pPr>
              <w:spacing w:after="0"/>
              <w:rPr>
                <w:sz w:val="10"/>
                <w:szCs w:val="10"/>
                <w:color w:val="auto"/>
              </w:rPr>
            </w:pPr>
          </w:p>
        </w:tc>
        <w:tc>
          <w:tcPr>
            <w:tcW w:w="10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240" w:type="dxa"/>
            <w:vAlign w:val="bottom"/>
          </w:tcPr>
          <w:p>
            <w:pPr>
              <w:spacing w:after="0"/>
              <w:rPr>
                <w:sz w:val="10"/>
                <w:szCs w:val="10"/>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ROU assets (1)</w:t>
            </w:r>
          </w:p>
        </w:tc>
        <w:tc>
          <w:tcPr>
            <w:tcW w:w="50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Finance ROU assets (2)</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6"/>
        </w:trPr>
        <w:tc>
          <w:tcPr>
            <w:tcW w:w="3480" w:type="dxa"/>
            <w:vAlign w:val="bottom"/>
            <w:tcBorders>
              <w:top w:val="single" w:sz="8" w:color="CCEEFF"/>
              <w:bottom w:val="single" w:sz="8" w:color="CCEEFF"/>
            </w:tcBorders>
            <w:shd w:val="clear" w:color="auto" w:fill="CCEEFF"/>
          </w:tcPr>
          <w:p>
            <w:pPr>
              <w:ind w:left="280"/>
              <w:spacing w:after="0" w:line="141" w:lineRule="exact"/>
              <w:rPr>
                <w:sz w:val="20"/>
                <w:szCs w:val="20"/>
                <w:color w:val="auto"/>
              </w:rPr>
            </w:pPr>
            <w:r>
              <w:rPr>
                <w:rFonts w:ascii="Times New Roman" w:cs="Times New Roman" w:eastAsia="Times New Roman" w:hAnsi="Times New Roman"/>
                <w:sz w:val="13"/>
                <w:szCs w:val="13"/>
                <w:color w:val="auto"/>
              </w:rPr>
              <w:t>Total leased assets</w:t>
            </w:r>
          </w:p>
        </w:tc>
        <w:tc>
          <w:tcPr>
            <w:tcW w:w="50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340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4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457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operating lease liability (3)</w:t>
            </w:r>
          </w:p>
        </w:tc>
        <w:tc>
          <w:tcPr>
            <w:tcW w:w="50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Non-current operating lease liability (4)</w:t>
            </w: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8"/>
        </w:trPr>
        <w:tc>
          <w:tcPr>
            <w:tcW w:w="3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leased liabilities (5)</w:t>
            </w:r>
          </w:p>
        </w:tc>
        <w:tc>
          <w:tcPr>
            <w:tcW w:w="500" w:type="dxa"/>
            <w:vAlign w:val="bottom"/>
            <w:tcBorders>
              <w:bottom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Registrants’ respective Consolidated Balance Sheets, net of accumulated amortization.</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Property, Plant and Equipment in the Registrants’ respective Consolidated Balance Sheets, net of accumulated amortization.</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current liabilities in the Registrants’ respective Consolidated Balance Sheets.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liabilities in the Registrants’ respective Consolidated Balance Sheets.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liabilities were not material as of December 31, 2025 or 2024.</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the dates presented, the weighted-average remaining lease term and weighted-average discount rate for the Registrants’ finance and operating leases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540" w:type="dxa"/>
            <w:vAlign w:val="bottom"/>
          </w:tcPr>
          <w:p>
            <w:pPr>
              <w:spacing w:after="0"/>
              <w:rPr>
                <w:sz w:val="10"/>
                <w:szCs w:val="10"/>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0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00" w:type="dxa"/>
            <w:vAlign w:val="bottom"/>
            <w:gridSpan w:val="2"/>
          </w:tcPr>
          <w:p>
            <w:pPr>
              <w:jc w:val="right"/>
              <w:ind w:right="480"/>
              <w:spacing w:after="0" w:line="120" w:lineRule="exact"/>
              <w:rPr>
                <w:sz w:val="20"/>
                <w:szCs w:val="20"/>
                <w:color w:val="auto"/>
              </w:rPr>
            </w:pPr>
            <w:r>
              <w:rPr>
                <w:rFonts w:ascii="Times New Roman" w:cs="Times New Roman" w:eastAsia="Times New Roman" w:hAnsi="Times New Roman"/>
                <w:sz w:val="13"/>
                <w:szCs w:val="13"/>
                <w:b w:val="1"/>
                <w:bCs w:val="1"/>
                <w:color w:val="auto"/>
              </w:rPr>
              <w:t>Houston</w:t>
            </w: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3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Weighted-average remaining lease term (in years) - operating leases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 - operating leases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5.03 %</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 - finance leases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 - finance leases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8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finance lease liabilities were not significant to the Registrants. As of December 31, 2025, maturities of operating lease liabilities were as follows:</w:t>
      </w:r>
    </w:p>
    <w:p>
      <w:pPr>
        <w:spacing w:after="0" w:line="97"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00" w:type="dxa"/>
            <w:vAlign w:val="bottom"/>
          </w:tcPr>
          <w:p>
            <w:pPr>
              <w:spacing w:after="0"/>
              <w:rPr>
                <w:sz w:val="12"/>
                <w:szCs w:val="12"/>
                <w:color w:val="auto"/>
              </w:rPr>
            </w:pPr>
          </w:p>
        </w:tc>
        <w:tc>
          <w:tcPr>
            <w:tcW w:w="11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1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3"/>
        </w:trPr>
        <w:tc>
          <w:tcPr>
            <w:tcW w:w="64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lease payments</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8"/>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Interest</w:t>
            </w:r>
          </w:p>
        </w:tc>
        <w:tc>
          <w:tcPr>
            <w:tcW w:w="1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5"/>
        </w:trPr>
        <w:tc>
          <w:tcPr>
            <w:tcW w:w="6440" w:type="dxa"/>
            <w:vAlign w:val="bottom"/>
            <w:tcBorders>
              <w:bottom w:val="single" w:sz="8" w:color="CCEEFF"/>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Present value of lease liabilities</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0" w:name="page191"/>
    <w:bookmarkEnd w:id="190"/>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future minimum finance lease payments to be received were not significant to the Registrants. As of December 31, 2025, maturities of undiscounted operating lease payments to be received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rPr>
              <w:t>CenterPoint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gridSpan w:val="2"/>
            <w:vMerge w:val="restart"/>
          </w:tcPr>
          <w:p>
            <w:pPr>
              <w:jc w:val="center"/>
              <w:ind w:left="20"/>
              <w:spacing w:after="0"/>
              <w:rPr>
                <w:sz w:val="20"/>
                <w:szCs w:val="20"/>
                <w:color w:val="auto"/>
              </w:rPr>
            </w:pPr>
            <w:r>
              <w:rPr>
                <w:rFonts w:ascii="Times New Roman" w:cs="Times New Roman" w:eastAsia="Times New Roman" w:hAnsi="Times New Roman"/>
                <w:sz w:val="13"/>
                <w:szCs w:val="13"/>
                <w:b w:val="1"/>
                <w:bCs w:val="1"/>
                <w:color w:val="auto"/>
                <w:w w:val="97"/>
              </w:rPr>
              <w:t>CERC</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w:t>
            </w: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1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0" w:type="dxa"/>
            <w:vAlign w:val="bottom"/>
          </w:tcPr>
          <w:p>
            <w:pPr>
              <w:spacing w:after="0"/>
              <w:rPr>
                <w:sz w:val="15"/>
                <w:szCs w:val="15"/>
                <w:color w:val="auto"/>
              </w:rPr>
            </w:pPr>
          </w:p>
        </w:tc>
        <w:tc>
          <w:tcPr>
            <w:tcW w:w="2420" w:type="dxa"/>
            <w:vAlign w:val="bottom"/>
            <w:tcBorders>
              <w:bottom w:val="single" w:sz="8" w:color="CCEEFF"/>
            </w:tcBorders>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 lease payments to be received</w:t>
            </w: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27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80" w:type="dxa"/>
            <w:vAlign w:val="bottom"/>
            <w:tcBorders>
              <w:top w:val="single" w:sz="8" w:color="CCEEFF"/>
              <w:bottom w:val="single" w:sz="8" w:color="CCEEFF"/>
            </w:tcBorders>
            <w:gridSpan w:val="6"/>
            <w:vMerge w:val="restart"/>
          </w:tcPr>
          <w:p>
            <w:pPr>
              <w:ind w:left="80"/>
              <w:spacing w:after="0"/>
              <w:rPr>
                <w:sz w:val="20"/>
                <w:szCs w:val="20"/>
                <w:color w:val="auto"/>
              </w:rPr>
            </w:pPr>
            <w:r>
              <w:rPr>
                <w:rFonts w:ascii="Times New Roman" w:cs="Times New Roman" w:eastAsia="Times New Roman" w:hAnsi="Times New Roman"/>
                <w:sz w:val="14"/>
                <w:szCs w:val="14"/>
                <w:color w:val="auto"/>
              </w:rPr>
              <w:t>Other information related to leases is as follows for the periods presented:</w:t>
            </w: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80" w:type="dxa"/>
            <w:vAlign w:val="bottom"/>
          </w:tcPr>
          <w:p>
            <w:pPr>
              <w:spacing w:after="0"/>
              <w:rPr>
                <w:sz w:val="24"/>
                <w:szCs w:val="24"/>
                <w:color w:val="auto"/>
              </w:rPr>
            </w:pPr>
          </w:p>
        </w:tc>
        <w:tc>
          <w:tcPr>
            <w:tcW w:w="468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14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200" w:type="dxa"/>
            <w:vAlign w:val="bottom"/>
          </w:tcPr>
          <w:p>
            <w:pPr>
              <w:spacing w:after="0"/>
              <w:rPr>
                <w:sz w:val="9"/>
                <w:szCs w:val="9"/>
                <w:color w:val="auto"/>
              </w:rPr>
            </w:pPr>
          </w:p>
        </w:tc>
        <w:tc>
          <w:tcPr>
            <w:tcW w:w="780" w:type="dxa"/>
            <w:vAlign w:val="bottom"/>
          </w:tcPr>
          <w:p>
            <w:pPr>
              <w:jc w:val="right"/>
              <w:ind w:right="223"/>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7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CERC</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40" w:type="dxa"/>
            <w:vAlign w:val="bottom"/>
          </w:tcPr>
          <w:p>
            <w:pPr>
              <w:spacing w:after="0"/>
              <w:rPr>
                <w:sz w:val="9"/>
                <w:szCs w:val="9"/>
                <w:color w:val="auto"/>
              </w:rPr>
            </w:pPr>
          </w:p>
        </w:tc>
        <w:tc>
          <w:tcPr>
            <w:tcW w:w="800" w:type="dxa"/>
            <w:vAlign w:val="bottom"/>
            <w:gridSpan w:val="2"/>
          </w:tcPr>
          <w:p>
            <w:pPr>
              <w:jc w:val="right"/>
              <w:ind w:right="176"/>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CERC</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260" w:type="dxa"/>
            <w:vAlign w:val="bottom"/>
          </w:tcPr>
          <w:p>
            <w:pPr>
              <w:spacing w:after="0"/>
              <w:rPr>
                <w:sz w:val="9"/>
                <w:szCs w:val="9"/>
                <w:color w:val="auto"/>
              </w:rPr>
            </w:pPr>
          </w:p>
        </w:tc>
        <w:tc>
          <w:tcPr>
            <w:tcW w:w="520" w:type="dxa"/>
            <w:vAlign w:val="bottom"/>
            <w:gridSpan w:val="2"/>
          </w:tcPr>
          <w:p>
            <w:pPr>
              <w:jc w:val="right"/>
              <w:ind w:right="16"/>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20" w:type="dxa"/>
            <w:vAlign w:val="bottom"/>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Operating cash flows from operating leases</w:t>
            </w: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20" w:type="dxa"/>
            <w:vAlign w:val="bottom"/>
            <w:gridSpan w:val="2"/>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included in the measurement of lease</w:t>
            </w:r>
          </w:p>
        </w:tc>
        <w:tc>
          <w:tcPr>
            <w:tcW w:w="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w:t>
            </w:r>
          </w:p>
        </w:tc>
        <w:tc>
          <w:tcPr>
            <w:tcW w:w="780" w:type="dxa"/>
            <w:vAlign w:val="bottom"/>
            <w:vMerge w:val="restart"/>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740" w:type="dxa"/>
            <w:vAlign w:val="bottom"/>
            <w:vMerge w:val="restart"/>
            <w:shd w:val="clear" w:color="auto" w:fill="CCEEFF"/>
          </w:tcPr>
          <w:p>
            <w:pPr>
              <w:jc w:val="right"/>
              <w:ind w:right="501"/>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280" w:type="dxa"/>
            <w:vAlign w:val="bottom"/>
            <w:gridSpan w:val="3"/>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rPr>
              <w:t>5</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3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5"/>
        </w:trPr>
        <w:tc>
          <w:tcPr>
            <w:tcW w:w="2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liabilities</w:t>
            </w:r>
          </w:p>
        </w:tc>
        <w:tc>
          <w:tcPr>
            <w:tcW w:w="58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280" w:type="dxa"/>
            <w:vAlign w:val="bottom"/>
            <w:gridSpan w:val="3"/>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17 for information on ROU assets obtained in exchange for operating lease liabilities.</w:t>
      </w:r>
    </w:p>
    <w:p>
      <w:pPr>
        <w:spacing w:after="0" w:line="198" w:lineRule="exact"/>
        <w:rPr>
          <w:sz w:val="20"/>
          <w:szCs w:val="20"/>
          <w:color w:val="auto"/>
        </w:rPr>
      </w:pPr>
    </w:p>
    <w:p>
      <w:pPr>
        <w:ind w:left="260" w:right="9860" w:hanging="255"/>
        <w:spacing w:after="0" w:line="539" w:lineRule="auto"/>
        <w:tabs>
          <w:tab w:leader="none" w:pos="276"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Subsequent Events </w:t>
      </w:r>
      <w:r>
        <w:rPr>
          <w:rFonts w:ascii="Times New Roman" w:cs="Times New Roman" w:eastAsia="Times New Roman" w:hAnsi="Times New Roman"/>
          <w:sz w:val="14"/>
          <w:szCs w:val="14"/>
          <w:i w:val="1"/>
          <w:iCs w:val="1"/>
          <w:color w:val="auto"/>
        </w:rPr>
        <w:t>CERC Term Loan</w:t>
      </w: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In January 2026, CERC Corp. entered into a delayed draw term loan agreement pursuant to which the banks party thereto have committed to provide term loans in an aggregate principal amount of up to $800 million by March 30, 2026 in up to three separate borrowings, subject to the satisfaction or waiver of certain customary conditions. If not fully utilized, the term loan commitments expire on March 31, 2026. The maturity date of the term loan is July 16, 2027. The borrowings under the term loan agreement bear interest at CERC’s option, at a rate per annum equal to either (i) Term SOFR (as defined in the term loan agreement), plus a margin of 0.85%, or (ii) the Alternate Base Rate (as defined in the term loan agreement). CERC Corp. borrowed $500 million on January 20, 2026, and expects to borrow the remaining $300 million during the first quarter of 2026. CERC intends to use the proceeds thereof for general corporate purposes.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CERC Prepayment Notice</w:t>
      </w:r>
    </w:p>
    <w:p>
      <w:pPr>
        <w:spacing w:after="0" w:line="202" w:lineRule="exact"/>
        <w:rPr>
          <w:sz w:val="20"/>
          <w:szCs w:val="20"/>
          <w:color w:val="auto"/>
        </w:rPr>
      </w:pPr>
    </w:p>
    <w:p>
      <w:pPr>
        <w:ind w:right="140" w:firstLine="255"/>
        <w:spacing w:after="0" w:line="268" w:lineRule="auto"/>
        <w:rPr>
          <w:sz w:val="20"/>
          <w:szCs w:val="20"/>
          <w:color w:val="auto"/>
        </w:rPr>
      </w:pPr>
      <w:r>
        <w:rPr>
          <w:rFonts w:ascii="Times New Roman" w:cs="Times New Roman" w:eastAsia="Times New Roman" w:hAnsi="Times New Roman"/>
          <w:sz w:val="14"/>
          <w:szCs w:val="14"/>
          <w:color w:val="auto"/>
        </w:rPr>
        <w:t>On February 11, 2026, CERC Corp. commenced sending out notices of full prepayment relating to (i) $10 million aggregate principal amount of its 4.25% Senior Notes, Series B, due June 5, 2043, (ii) $40 million aggregate principal amount of its 4.36% Senior Notes, Series B, due December 15, 2045, (iii) $35 million aggregate principal amount of its 5.99% Senior Notes, Series C, due November 30, 2041, (iv) $60 million aggregate principal amount of its 5.02% Senior Notes, Series B, due November 30, 2026 and (v) $100 million aggregate principal amount of its 5.00% Senior</w:t>
      </w:r>
    </w:p>
    <w:p>
      <w:pPr>
        <w:spacing w:after="0" w:line="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Notes due February 3, 2042, pursuant to Note Purchase Agreements, each dated as of May 27, 2022, by and among CERC Corp. and the purchasers party thereto. Such notes are expected to be prepaid on March 27, 2026 at 100% of the principal amount plus accrued and unpaid interest and a Make-Whole Amount (as defined in the respective Note Purchase Agreements).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Series 2026-A Senior Secured System Restoration Bonds (Houston Electric)</w:t>
      </w:r>
    </w:p>
    <w:p>
      <w:pPr>
        <w:spacing w:after="0" w:line="191" w:lineRule="exact"/>
        <w:rPr>
          <w:sz w:val="20"/>
          <w:szCs w:val="20"/>
          <w:color w:val="auto"/>
        </w:rPr>
      </w:pPr>
    </w:p>
    <w:p>
      <w:pPr>
        <w:jc w:val="both"/>
        <w:ind w:firstLine="255"/>
        <w:spacing w:after="0" w:line="166" w:lineRule="exact"/>
        <w:rPr>
          <w:sz w:val="20"/>
          <w:szCs w:val="20"/>
          <w:color w:val="auto"/>
        </w:rPr>
      </w:pPr>
      <w:r>
        <w:rPr>
          <w:rFonts w:ascii="Times New Roman" w:cs="Times New Roman" w:eastAsia="Times New Roman" w:hAnsi="Times New Roman"/>
          <w:sz w:val="14"/>
          <w:szCs w:val="14"/>
          <w:color w:val="auto"/>
        </w:rPr>
        <w:t>On February 18, 2026, Houston Electric and Restoration Bond Company III entered into an underwriting agreement with respect to the purchase and sale of up to approximately $1.193 billion aggregate principal amount of Restoration Bond Company III’s Series 2026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 Senior Secured System Restoration Bonds. Subject to the satisfaction of customary closing conditions, Restoration Bond Company III expects to issue the Series 2026-A Senior Secured System Restoration Bonds on February 26, 2026 in three tranches with initial principal amounts of $298,370,000, $397,825,000 and $497,279,000, interest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91" w:name="page192"/>
    <w:bookmarkEnd w:id="191"/>
    <w:p>
      <w:pPr>
        <w:spacing w:after="0" w:line="271" w:lineRule="auto"/>
        <w:rPr>
          <w:sz w:val="20"/>
          <w:szCs w:val="20"/>
          <w:color w:val="auto"/>
        </w:rPr>
      </w:pPr>
      <w:r>
        <w:rPr>
          <w:rFonts w:ascii="Times New Roman" w:cs="Times New Roman" w:eastAsia="Times New Roman" w:hAnsi="Times New Roman"/>
          <w:sz w:val="14"/>
          <w:szCs w:val="14"/>
          <w:color w:val="auto"/>
        </w:rPr>
        <w:t>rates of 3.899%, 4.480% and 4.864% and final maturity dates of December 2031, June 2036 and December 2040, respectively. Restoration Bond Company III intends to use the net proceeds from the issuance of the Series 2026-A Senior Secured System Restoration Bonds to purchase the system restoration property from Houston Electric.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 </w:t>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9A.  </w:t>
      </w:r>
      <w:r>
        <w:rPr>
          <w:rFonts w:ascii="Times New Roman" w:cs="Times New Roman" w:eastAsia="Times New Roman" w:hAnsi="Times New Roman"/>
          <w:sz w:val="14"/>
          <w:szCs w:val="14"/>
          <w:b w:val="1"/>
          <w:bCs w:val="1"/>
          <w:i w:val="1"/>
          <w:i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02"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December 31, 2025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There has been no change in the Registrants’ internal controls over financial reporting that occurred during the three months ended December 31, 2025 that has materially affected, or is reasonably likely to materially affect, the Registrants’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Registrants’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Registrants’ principal executive and principal financial officers and effected by the Board, as well as the Registrants’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2" w:lineRule="exact"/>
        <w:rPr>
          <w:sz w:val="20"/>
          <w:szCs w:val="20"/>
          <w:color w:val="auto"/>
        </w:rPr>
      </w:pPr>
    </w:p>
    <w:p>
      <w:pPr>
        <w:ind w:left="520" w:hanging="260"/>
        <w:spacing w:after="0"/>
        <w:tabs>
          <w:tab w:leader="none" w:pos="5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Registrants;</w:t>
      </w:r>
    </w:p>
    <w:p>
      <w:pPr>
        <w:spacing w:after="0" w:line="199"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receipts and expenditures of the Registrants are being made only in accordance with authorizations of management and directors of the Registrants; and</w:t>
      </w:r>
    </w:p>
    <w:p>
      <w:pPr>
        <w:spacing w:after="0" w:line="145" w:lineRule="exact"/>
        <w:rPr>
          <w:rFonts w:ascii="Times New Roman" w:cs="Times New Roman" w:eastAsia="Times New Roman" w:hAnsi="Times New Roman"/>
          <w:sz w:val="14"/>
          <w:szCs w:val="14"/>
          <w:color w:val="auto"/>
        </w:rPr>
      </w:pPr>
    </w:p>
    <w:p>
      <w:pPr>
        <w:ind w:left="520" w:right="440" w:hanging="260"/>
        <w:spacing w:after="0" w:line="287" w:lineRule="auto"/>
        <w:tabs>
          <w:tab w:leader="none" w:pos="51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Registrants’ assets that could have a material effect on the financial statements.</w:t>
      </w:r>
    </w:p>
    <w:p>
      <w:pPr>
        <w:spacing w:after="0" w:line="145"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Management has designed its internal control over financial reporting to provide reasonable assurance regarding the reliability of financial reporting and the preparation of financial statements in accordance with accounting principles generally accepted in the United States of America. Management’s assessment included review and testing of both the design effectiveness and operating effectiveness of controls over all relevant assertions related to all significant accounts and disclosures in the financial statements.</w:t>
      </w:r>
    </w:p>
    <w:p>
      <w:pPr>
        <w:spacing w:after="0" w:line="15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Under the supervision and with the participation of the Registrants’ management, including their respective principal executive officers and principal financial officers, the Registrants conducted an evaluation of the effectiveness of their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Based on the Registrants’ evaluation under the framework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the Registrants’ management has concluded, in each case, that their internal control over financial reporting was effective as of December 31, 2025.</w:t>
      </w:r>
    </w:p>
    <w:p>
      <w:pPr>
        <w:spacing w:after="0" w:line="162"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Deloitte &amp; Touche LLP, CenterPoint Energy’s independent registered public accounting firm, has issued an attestation report on the effectiveness of CenterPoint Energy’s internal control over financial reporting as of December 31, 2025 which is set forth below. This report is not applicable to Houston Electric or CERC as they are not accelerated or large accelerated filers.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CenterPoint Energy,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CenterPoint Energy, Inc. and subsidiaries (the "Company") as of December 31, 2025, based on criteria established in </w:t>
      </w:r>
      <w:r>
        <w:rPr>
          <w:rFonts w:ascii="Times New Roman" w:cs="Times New Roman" w:eastAsia="Times New Roman" w:hAnsi="Times New Roman"/>
          <w:sz w:val="14"/>
          <w:szCs w:val="14"/>
          <w:i w:val="1"/>
          <w:iCs w:val="1"/>
          <w:color w:val="auto"/>
        </w:rPr>
        <w:t>Internal Control</w:t>
      </w:r>
    </w:p>
    <w:p>
      <w:pPr>
        <w:spacing w:after="0" w:line="16"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 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16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2025, of the Company and our report dated February 19, 2026, expressed an unqualified opinion on those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4"/>
          <w:szCs w:val="14"/>
          <w:i w:val="1"/>
          <w:iCs w:val="1"/>
          <w:color w:val="auto"/>
        </w:rPr>
        <w:t>Management’s</w:t>
      </w:r>
      <w:r>
        <w:rPr>
          <w:rFonts w:ascii="Times New Roman" w:cs="Times New Roman" w:eastAsia="Times New Roman" w:hAnsi="Times New Roman"/>
          <w:sz w:val="14"/>
          <w:szCs w:val="14"/>
          <w:color w:val="auto"/>
        </w:rPr>
        <w:t xml:space="preserve">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9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7" w:right="3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color w:val="auto"/>
        </w:rPr>
        <w:t xml:space="preserve">Item 9B.  </w:t>
      </w: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Rule 10b5-1 Trading Arrangements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2025, no director or officer of CenterPoint Energy, Houston Electric or CERC adopted or terminated a “Rule 10b5-1 trading arrangement” or “non-Rule 10b5-1 trading arrangement,” as each term is defined in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9C. </w:t>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202"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10, to the extent not set forth in “Information About Our Executive Officers” in Item 1 of Part I of this report, will be set forth in the definitive proxy statement relating to CenterPoint Energy’s 2026 annual meeting of shareholders pursuant to SEC Regulation 14A. Such definitive proxy statement relates to a meeting of shareholders involving the election of directors and the portions thereof called for by Item 10 are incorporated herein by reference pursuant to Instruction G to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Houston Electric and CERC, the information called for by Item 10 is omitted pursuant to Instruction I(2) to Form 10-K (Omission of Information by Certain Wholly-Owned Subsidiaries).</w:t>
      </w:r>
    </w:p>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11 will be set forth in the definitive proxy statement relating to CenterPoint Energy’s 2026 annual meeting of shareholders pursuant to SEC Regulation 14A. Such definitive proxy statement relates to a meeting of shareholders involving the election of directors and the portions thereof called for by Item 11 are incorporated herein by reference pursuant to Instruction G to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Houston Electric and CERC, the information called for by Item 11 is omitted pursuant to Instruction I(2) to Form 10-K (Omission of Information by Certain Wholly-Owned Subsidiaries).</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12 will be set forth in the definitive proxy statement relating to CenterPoint Energy’s 2026 annual meeting of shareholders pursuant to SEC Regulation 14A. Such definitive proxy statement relates to a meeting of shareholders involving the election of directors and the portions thereof called for by Item 12 are incorporated herein by reference pursuant to Instruction G to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Houston Electric and CERC, the information called for by Item 12 is omitted pursuant to Instruction I(2) to Form 10-K (Omission of Information by Certain Wholly-Owned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13. </w:t>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13 will be set forth in the definitive proxy statement relating to CenterPoint Energy’s 2026 annual meeting of shareholders pursuant to SEC Regulation 14A. Such definitive proxy statement relates to a meeting of shareholders involving the election of directors and the portions thereof called for by Item 13 are incorporated herein by reference pursuant to Instruction G to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Houston Electric and CERC, the information called for by Item 13 is omitted pursuant to Instruction I(2) to Form 10-K (Omission of Information by Certain Wholly-Owned Subsidiaries).</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Accounting Fees and Services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195" w:name="page196"/>
    <w:bookmarkEnd w:id="195"/>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14 will be set forth in the definitive proxy statement relating to CenterPoint Energy’s 2026 annual meeting of shareholders pursuant to SEC Regulation 14A. Such definitive proxy statement relates to a meeting of shareholders involving the election of directors and the portions thereof called for by Item 14 are incorporated herein by reference pursuant to Instruction G to Form 10-K.</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Aggregate fees billed to Houston Electric and CERC during the periods presented by their principal accounting firm, Deloitte &amp; Touche LLP, are set forth below</w:t>
      </w:r>
      <w:r>
        <w:rPr>
          <w:rFonts w:ascii="Times New Roman" w:cs="Times New Roman" w:eastAsia="Times New Roman" w:hAnsi="Times New Roman"/>
          <w:sz w:val="14"/>
          <w:szCs w:val="14"/>
          <w:b w:val="1"/>
          <w:bCs w:val="1"/>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40" w:type="dxa"/>
            <w:vAlign w:val="bottom"/>
            <w:tcBorders>
              <w:bottom w:val="single" w:sz="8" w:color="auto"/>
            </w:tcBorders>
          </w:tcPr>
          <w:p>
            <w:pPr>
              <w:spacing w:after="0"/>
              <w:rPr>
                <w:sz w:val="14"/>
                <w:szCs w:val="14"/>
                <w:color w:val="auto"/>
              </w:rPr>
            </w:pPr>
          </w:p>
        </w:tc>
      </w:tr>
      <w:tr>
        <w:trPr>
          <w:trHeight w:val="160"/>
        </w:trPr>
        <w:tc>
          <w:tcPr>
            <w:tcW w:w="4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360" w:type="dxa"/>
            <w:vAlign w:val="bottom"/>
          </w:tcPr>
          <w:p>
            <w:pPr>
              <w:spacing w:after="0"/>
              <w:rPr>
                <w:sz w:val="13"/>
                <w:szCs w:val="13"/>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360" w:type="dxa"/>
            <w:vAlign w:val="bottom"/>
          </w:tcPr>
          <w:p>
            <w:pPr>
              <w:spacing w:after="0"/>
              <w:rPr>
                <w:sz w:val="13"/>
                <w:szCs w:val="13"/>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7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11"/>
                <w:szCs w:val="11"/>
                <w:color w:val="auto"/>
              </w:rPr>
              <w:t>(1)</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2,443,540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3,829,800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948,480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1,337,600</w:t>
            </w:r>
          </w:p>
        </w:tc>
      </w:tr>
      <w:tr>
        <w:trPr>
          <w:trHeight w:val="19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Audit-related fees </w:t>
            </w:r>
            <w:r>
              <w:rPr>
                <w:rFonts w:ascii="Times New Roman" w:cs="Times New Roman" w:eastAsia="Times New Roman" w:hAnsi="Times New Roman"/>
                <w:sz w:val="11"/>
                <w:szCs w:val="11"/>
                <w:color w:val="auto"/>
              </w:rPr>
              <w:t>(2)</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1,412,641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1,088,145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449,000</w:t>
            </w: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audit and audit-related fees</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3,856,181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4,114,300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2,036,625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1,786,600</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22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3,856,181</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4,114,300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2,036,625</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1,786,600</w:t>
            </w: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520" w:right="340" w:hanging="260"/>
        <w:spacing w:after="0" w:line="263" w:lineRule="auto"/>
        <w:tabs>
          <w:tab w:leader="none" w:pos="515"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and 2024, amounts include fees for services provided by the principal accounting firm relating to the integrated audit of financial statements and internal control over financial reporting, statutory audits, attest services, and regulatory filings.</w:t>
      </w:r>
    </w:p>
    <w:p>
      <w:pPr>
        <w:ind w:left="520" w:right="200" w:hanging="260"/>
        <w:spacing w:after="0" w:line="266" w:lineRule="auto"/>
        <w:tabs>
          <w:tab w:leader="none" w:pos="515"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and 2024, amounts include fees for consultations concerning financial accounting and reporting standards and various agreed-upon or expanded procedures related to accounting records to comply with financial accounting or regulatory reporting matters.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of Houston Electric and CERC is not required to have, and does not have, an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86"/>
        </w:trPr>
        <w:tc>
          <w:tcPr>
            <w:tcW w:w="11040" w:type="dxa"/>
            <w:vAlign w:val="bottom"/>
          </w:tcPr>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1"/>
        </w:trPr>
        <w:tc>
          <w:tcPr>
            <w:tcW w:w="1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Exhibits and Financial Statement Schedules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11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(a)(1) Financial Statements.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80"/>
        </w:trPr>
        <w:tc>
          <w:tcPr>
            <w:tcW w:w="1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tc>
        <w:tc>
          <w:tcPr>
            <w:tcW w:w="6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92</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 for the Three Years Ended December 31, 2025</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94</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 for the Three Years Ended December 31, 2025</w:t>
            </w:r>
          </w:p>
        </w:tc>
        <w:tc>
          <w:tcPr>
            <w:tcW w:w="6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95</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Consolidated Balance Sheets as of December 31, 2025 and 2024</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96</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 for the Three Years Ended December 31, 2025</w:t>
            </w:r>
          </w:p>
        </w:tc>
        <w:tc>
          <w:tcPr>
            <w:tcW w:w="6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98</w:t>
            </w:r>
          </w:p>
        </w:tc>
        <w:tc>
          <w:tcPr>
            <w:tcW w:w="20" w:type="dxa"/>
            <w:vAlign w:val="bottom"/>
          </w:tcPr>
          <w:p>
            <w:pPr>
              <w:spacing w:after="0"/>
              <w:rPr>
                <w:sz w:val="13"/>
                <w:szCs w:val="13"/>
                <w:color w:val="auto"/>
              </w:rPr>
            </w:pPr>
          </w:p>
        </w:tc>
      </w:tr>
      <w:tr>
        <w:trPr>
          <w:trHeight w:val="166"/>
        </w:trPr>
        <w:tc>
          <w:tcPr>
            <w:tcW w:w="11040" w:type="dxa"/>
            <w:vAlign w:val="bottom"/>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 for the Three Years Ended December 31, 2025</w:t>
            </w:r>
          </w:p>
        </w:tc>
        <w:tc>
          <w:tcPr>
            <w:tcW w:w="2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99</w:t>
            </w:r>
          </w:p>
        </w:tc>
        <w:tc>
          <w:tcPr>
            <w:tcW w:w="20" w:type="dxa"/>
            <w:vAlign w:val="bottom"/>
            <w:shd w:val="clear" w:color="auto" w:fill="CCEEFF"/>
          </w:tcPr>
          <w:p>
            <w:pPr>
              <w:spacing w:after="0"/>
              <w:rPr>
                <w:sz w:val="14"/>
                <w:szCs w:val="14"/>
                <w:color w:val="auto"/>
              </w:rPr>
            </w:pPr>
          </w:p>
        </w:tc>
      </w:tr>
      <w:tr>
        <w:trPr>
          <w:trHeight w:val="180"/>
        </w:trPr>
        <w:tc>
          <w:tcPr>
            <w:tcW w:w="11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60"/>
        </w:trPr>
        <w:tc>
          <w:tcPr>
            <w:tcW w:w="11040" w:type="dxa"/>
            <w:vAlign w:val="bottom"/>
            <w:tcBorders>
              <w:bottom w:val="single" w:sz="8" w:color="CCEEFF"/>
            </w:tcBorders>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tc>
        <w:tc>
          <w:tcPr>
            <w:tcW w:w="200" w:type="dxa"/>
            <w:vAlign w:val="bottom"/>
            <w:tcBorders>
              <w:bottom w:val="single" w:sz="8" w:color="0000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Income for the Three Years Ended December 31, 2025</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102</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Comprehensive Income for the Three Years Ended December 31, 2025</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103</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Consolidated Balance Sheets as of December 31, 2025 and 2024</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104</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Cash Flows for the Three Years Ended December 31, 2025</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105</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Changes in Equity for the Three Years Ended December 31, 2025</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106</w:t>
            </w:r>
          </w:p>
        </w:tc>
        <w:tc>
          <w:tcPr>
            <w:tcW w:w="20" w:type="dxa"/>
            <w:vAlign w:val="bottom"/>
          </w:tcPr>
          <w:p>
            <w:pPr>
              <w:spacing w:after="0"/>
              <w:rPr>
                <w:sz w:val="13"/>
                <w:szCs w:val="13"/>
                <w:color w:val="auto"/>
              </w:rPr>
            </w:pPr>
          </w:p>
        </w:tc>
      </w:tr>
      <w:tr>
        <w:trPr>
          <w:trHeight w:val="186"/>
        </w:trPr>
        <w:tc>
          <w:tcPr>
            <w:tcW w:w="1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CERC</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107</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 for the Three Years Ended December 31, 2025</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109</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 for the Three Years Ended December 31, 2025</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110</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Consolidated Balance Sheets as of December 31, 2025 and 2024</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111</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 for the Three Years Ended December 31, 2025</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113</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 for the Three Years Ended December 31, 2025</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114</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49"/>
        </w:trPr>
        <w:tc>
          <w:tcPr>
            <w:tcW w:w="11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Combined Notes to Consolidated Financial Statements</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115</w:t>
            </w:r>
          </w:p>
        </w:tc>
        <w:tc>
          <w:tcPr>
            <w:tcW w:w="20" w:type="dxa"/>
            <w:vAlign w:val="bottom"/>
          </w:tcPr>
          <w:p>
            <w:pPr>
              <w:spacing w:after="0"/>
              <w:rPr>
                <w:sz w:val="12"/>
                <w:szCs w:val="12"/>
                <w:color w:val="auto"/>
              </w:rPr>
            </w:pPr>
          </w:p>
        </w:tc>
      </w:tr>
    </w:tbl>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(a)(2) Financial Statement Schedules for the Three Years Ended December 31, 2025</w:t>
      </w:r>
    </w:p>
    <w:p>
      <w:pPr>
        <w:spacing w:after="0" w:line="202"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 following schedules are omitted by the Registrants because of the absence of the conditions under which they are required or because the required information is included in the financial statements: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II, III, IV and V.</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(a)(3) Exhibits.</w:t>
      </w:r>
    </w:p>
    <w:p>
      <w:pPr>
        <w:spacing w:after="0" w:line="202"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See Index of Exhibits beginning on page 186, which index also includes the management contracts or compensatory plans or arrangements required to be filed as exhibits to this Form 10-K by Item 601(b)(10)(iii)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Form 10-K Summary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EXHIBITS TO THE COMBINED ANNUAL REPORT ON FORM 10-K</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Fiscal Year Ended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OF EXHIBITS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Exhibits included with this report are designated by a cross (†); all exhibits not so designated are incorporated herein by reference to a prior filing as indicated. Exhibits designated by an asterisk</w:t>
      </w:r>
    </w:p>
    <w:p>
      <w:pPr>
        <w:spacing w:after="0" w:line="23" w:lineRule="exact"/>
        <w:rPr>
          <w:sz w:val="20"/>
          <w:szCs w:val="20"/>
          <w:color w:val="auto"/>
        </w:rPr>
      </w:pPr>
    </w:p>
    <w:p>
      <w:pPr>
        <w:ind w:right="140" w:firstLine="5"/>
        <w:spacing w:after="0" w:line="266" w:lineRule="auto"/>
        <w:tabs>
          <w:tab w:leader="none" w:pos="2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management contracts or compensatory plans or arrangements required to be filed as exhibits to this Form 10-K by Item 601(b)(10)(iii) of Regulation S-K. The Registrants have not filed the exhibits and schedules to Exhibit 2. The Registrants hereby agree to furnish supplementally a copy of any schedule omitted from Exhibit 2 to the SEC upon request.</w:t>
      </w:r>
    </w:p>
    <w:p>
      <w:pPr>
        <w:spacing w:after="0" w:line="159"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The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us, any other persons, any state of affairs or other matters.</w:t>
      </w:r>
    </w:p>
    <w:p>
      <w:pPr>
        <w:sectPr>
          <w:pgSz w:w="11900" w:h="16838" w:orient="portrait"/>
          <w:cols w:equalWidth="0" w:num="1">
            <w:col w:w="11280"/>
          </w:cols>
          <w:pgMar w:left="300" w:top="1110" w:right="31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18"/>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1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5"/>
              </w:rPr>
              <w:t>2(a)</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21"/>
          </w:tcPr>
          <w:p>
            <w:pPr>
              <w:spacing w:after="0" w:line="137" w:lineRule="exact"/>
              <w:rPr>
                <w:rFonts w:ascii="Times New Roman" w:cs="Times New Roman" w:eastAsia="Times New Roman" w:hAnsi="Times New Roman"/>
                <w:sz w:val="13"/>
                <w:szCs w:val="13"/>
                <w:color w:val="0000FF"/>
              </w:rPr>
            </w:pPr>
            <w:hyperlink r:id="rId222">
              <w:r>
                <w:rPr>
                  <w:rFonts w:ascii="Times New Roman" w:cs="Times New Roman" w:eastAsia="Times New Roman" w:hAnsi="Times New Roman"/>
                  <w:sz w:val="13"/>
                  <w:szCs w:val="13"/>
                  <w:color w:val="0000FF"/>
                </w:rPr>
                <w:t>Asset Purchase Agreement by and between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22">
              <w:r>
                <w:rPr>
                  <w:rFonts w:ascii="Times New Roman" w:cs="Times New Roman" w:eastAsia="Times New Roman" w:hAnsi="Times New Roman"/>
                  <w:sz w:val="12"/>
                  <w:szCs w:val="12"/>
                  <w:color w:val="0000FF"/>
                </w:rPr>
                <w:t>CenterPoint Energy Resources Corp. and</w:t>
              </w:r>
            </w:hyperlink>
          </w:p>
        </w:tc>
        <w:tc>
          <w:tcPr>
            <w:tcW w:w="1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1"/>
          </w:tcPr>
          <w:p>
            <w:pPr>
              <w:spacing w:after="0" w:line="107" w:lineRule="exact"/>
              <w:rPr>
                <w:rFonts w:ascii="Times New Roman" w:cs="Times New Roman" w:eastAsia="Times New Roman" w:hAnsi="Times New Roman"/>
                <w:sz w:val="12"/>
                <w:szCs w:val="12"/>
                <w:color w:val="0000FF"/>
              </w:rPr>
            </w:pPr>
            <w:hyperlink r:id="rId222">
              <w:r>
                <w:rPr>
                  <w:rFonts w:ascii="Times New Roman" w:cs="Times New Roman" w:eastAsia="Times New Roman" w:hAnsi="Times New Roman"/>
                  <w:sz w:val="12"/>
                  <w:szCs w:val="12"/>
                  <w:color w:val="0000FF"/>
                </w:rPr>
                <w:t>Southern Col Midco, LLC, dated as of April 29,</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222">
              <w:r>
                <w:rPr>
                  <w:rFonts w:ascii="Times New Roman" w:cs="Times New Roman" w:eastAsia="Times New Roman" w:hAnsi="Times New Roman"/>
                  <w:sz w:val="12"/>
                  <w:szCs w:val="12"/>
                  <w:color w:val="0000FF"/>
                  <w:w w:val="99"/>
                </w:rPr>
                <w:t>2021</w:t>
              </w:r>
            </w:hyperlink>
          </w:p>
        </w:tc>
        <w:tc>
          <w:tcPr>
            <w:tcW w:w="14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6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2(b)</w:t>
            </w:r>
          </w:p>
        </w:tc>
        <w:tc>
          <w:tcPr>
            <w:tcW w:w="284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3">
              <w:r>
                <w:rPr>
                  <w:rFonts w:ascii="Times New Roman" w:cs="Times New Roman" w:eastAsia="Times New Roman" w:hAnsi="Times New Roman"/>
                  <w:sz w:val="13"/>
                  <w:szCs w:val="13"/>
                  <w:color w:val="0000FF"/>
                </w:rPr>
                <w:t>Asset Purchase Agreement, dated February 19,</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23">
              <w:r>
                <w:rPr>
                  <w:rFonts w:ascii="Times New Roman" w:cs="Times New Roman" w:eastAsia="Times New Roman" w:hAnsi="Times New Roman"/>
                  <w:sz w:val="12"/>
                  <w:szCs w:val="12"/>
                  <w:color w:val="0000FF"/>
                </w:rPr>
                <w:t>2024, among CenterPoint Energy Resources</w:t>
              </w:r>
            </w:hyperlink>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23">
              <w:r>
                <w:rPr>
                  <w:rFonts w:ascii="Times New Roman" w:cs="Times New Roman" w:eastAsia="Times New Roman" w:hAnsi="Times New Roman"/>
                  <w:sz w:val="12"/>
                  <w:szCs w:val="12"/>
                  <w:color w:val="0000FF"/>
                </w:rPr>
                <w:t>Corp. and Delta Utilities No. LA, LLC, Delta</w:t>
              </w:r>
            </w:hyperlink>
          </w:p>
        </w:tc>
        <w:tc>
          <w:tcPr>
            <w:tcW w:w="4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bottom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23">
              <w:r>
                <w:rPr>
                  <w:rFonts w:ascii="Times New Roman" w:cs="Times New Roman" w:eastAsia="Times New Roman" w:hAnsi="Times New Roman"/>
                  <w:sz w:val="12"/>
                  <w:szCs w:val="12"/>
                  <w:color w:val="0000FF"/>
                </w:rPr>
                <w:t>Utilities S. LA, LLC, Delta Utilities MS, LLC,</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23">
              <w:r>
                <w:rPr>
                  <w:rFonts w:ascii="Times New Roman" w:cs="Times New Roman" w:eastAsia="Times New Roman" w:hAnsi="Times New Roman"/>
                  <w:sz w:val="12"/>
                  <w:szCs w:val="12"/>
                  <w:color w:val="0000FF"/>
                </w:rPr>
                <w:t>and Delta Shared Services Co., LLC</w:t>
              </w:r>
            </w:hyperlink>
          </w:p>
        </w:tc>
        <w:tc>
          <w:tcPr>
            <w:tcW w:w="540" w:type="dxa"/>
            <w:vAlign w:val="bottom"/>
            <w:gridSpan w:val="12"/>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2(c)</w:t>
            </w:r>
          </w:p>
        </w:tc>
        <w:tc>
          <w:tcPr>
            <w:tcW w:w="284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4">
              <w:r>
                <w:rPr>
                  <w:rFonts w:ascii="Times New Roman" w:cs="Times New Roman" w:eastAsia="Times New Roman" w:hAnsi="Times New Roman"/>
                  <w:sz w:val="13"/>
                  <w:szCs w:val="13"/>
                  <w:color w:val="0000FF"/>
                </w:rPr>
                <w:t>Securities Purchase Agreement, dated October</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24">
              <w:r>
                <w:rPr>
                  <w:rFonts w:ascii="Times New Roman" w:cs="Times New Roman" w:eastAsia="Times New Roman" w:hAnsi="Times New Roman"/>
                  <w:sz w:val="12"/>
                  <w:szCs w:val="12"/>
                  <w:color w:val="0000FF"/>
                </w:rPr>
                <w:t>20, 2025, by and between CenterPoint Energy</w:t>
              </w:r>
            </w:hyperlink>
          </w:p>
        </w:tc>
        <w:tc>
          <w:tcPr>
            <w:tcW w:w="8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24">
              <w:r>
                <w:rPr>
                  <w:rFonts w:ascii="Times New Roman" w:cs="Times New Roman" w:eastAsia="Times New Roman" w:hAnsi="Times New Roman"/>
                  <w:sz w:val="12"/>
                  <w:szCs w:val="12"/>
                  <w:color w:val="0000FF"/>
                </w:rPr>
                <w:t>Resources Corp. and National Fuel Gas</w:t>
              </w:r>
            </w:hyperlink>
          </w:p>
        </w:tc>
        <w:tc>
          <w:tcPr>
            <w:tcW w:w="120" w:type="dxa"/>
            <w:vAlign w:val="bottom"/>
            <w:gridSpan w:val="4"/>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24">
              <w:r>
                <w:rPr>
                  <w:rFonts w:ascii="Times New Roman" w:cs="Times New Roman" w:eastAsia="Times New Roman" w:hAnsi="Times New Roman"/>
                  <w:sz w:val="12"/>
                  <w:szCs w:val="12"/>
                  <w:color w:val="0000FF"/>
                </w:rPr>
                <w:t>Company</w:t>
              </w:r>
            </w:hyperlink>
          </w:p>
        </w:tc>
        <w:tc>
          <w:tcPr>
            <w:tcW w:w="1520" w:type="dxa"/>
            <w:vAlign w:val="bottom"/>
            <w:tcBorders>
              <w:top w:val="single" w:sz="8" w:color="0000FF"/>
            </w:tcBorders>
            <w:gridSpan w:val="6"/>
          </w:tcPr>
          <w:p>
            <w:pPr>
              <w:spacing w:after="0"/>
              <w:rPr>
                <w:sz w:val="9"/>
                <w:szCs w:val="9"/>
                <w:color w:val="auto"/>
              </w:rPr>
            </w:pPr>
          </w:p>
        </w:tc>
        <w:tc>
          <w:tcPr>
            <w:tcW w:w="200" w:type="dxa"/>
            <w:vAlign w:val="bottom"/>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160" w:type="dxa"/>
            <w:vAlign w:val="bottom"/>
            <w:gridSpan w:val="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3(a)</w:t>
            </w:r>
          </w:p>
        </w:tc>
        <w:tc>
          <w:tcPr>
            <w:tcW w:w="284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5">
              <w:r>
                <w:rPr>
                  <w:rFonts w:ascii="Times New Roman" w:cs="Times New Roman" w:eastAsia="Times New Roman" w:hAnsi="Times New Roman"/>
                  <w:sz w:val="13"/>
                  <w:szCs w:val="13"/>
                  <w:color w:val="0000FF"/>
                </w:rPr>
                <w:t>Restated Articles of Incorporation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25">
              <w:r>
                <w:rPr>
                  <w:rFonts w:ascii="Times New Roman" w:cs="Times New Roman" w:eastAsia="Times New Roman" w:hAnsi="Times New Roman"/>
                  <w:sz w:val="12"/>
                  <w:szCs w:val="12"/>
                  <w:color w:val="0000FF"/>
                </w:rPr>
                <w:t>CenterPoint Energy</w:t>
              </w:r>
            </w:hyperlink>
          </w:p>
        </w:tc>
        <w:tc>
          <w:tcPr>
            <w:tcW w:w="20" w:type="dxa"/>
            <w:vAlign w:val="bottom"/>
          </w:tcPr>
          <w:p>
            <w:pPr>
              <w:spacing w:after="0"/>
              <w:rPr>
                <w:sz w:val="9"/>
                <w:szCs w:val="9"/>
                <w:color w:val="auto"/>
              </w:rPr>
            </w:pPr>
          </w:p>
        </w:tc>
        <w:tc>
          <w:tcPr>
            <w:tcW w:w="320" w:type="dxa"/>
            <w:vAlign w:val="bottom"/>
            <w:gridSpan w:val="4"/>
          </w:tcPr>
          <w:p>
            <w:pPr>
              <w:spacing w:after="0"/>
              <w:rPr>
                <w:sz w:val="9"/>
                <w:szCs w:val="9"/>
                <w:color w:val="auto"/>
              </w:rPr>
            </w:pPr>
          </w:p>
        </w:tc>
        <w:tc>
          <w:tcPr>
            <w:tcW w:w="80" w:type="dxa"/>
            <w:vAlign w:val="bottom"/>
            <w:gridSpan w:val="2"/>
          </w:tcPr>
          <w:p>
            <w:pPr>
              <w:spacing w:after="0"/>
              <w:rPr>
                <w:sz w:val="9"/>
                <w:szCs w:val="9"/>
                <w:color w:val="auto"/>
              </w:rPr>
            </w:pPr>
          </w:p>
        </w:tc>
        <w:tc>
          <w:tcPr>
            <w:tcW w:w="160" w:type="dxa"/>
            <w:vAlign w:val="bottom"/>
            <w:gridSpan w:val="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3(b)</w:t>
            </w:r>
          </w:p>
        </w:tc>
        <w:tc>
          <w:tcPr>
            <w:tcW w:w="284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6">
              <w:r>
                <w:rPr>
                  <w:rFonts w:ascii="Times New Roman" w:cs="Times New Roman" w:eastAsia="Times New Roman" w:hAnsi="Times New Roman"/>
                  <w:sz w:val="13"/>
                  <w:szCs w:val="13"/>
                  <w:color w:val="0000FF"/>
                </w:rPr>
                <w:t>Restated Certificate of Formation of Houston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26">
              <w:r>
                <w:rPr>
                  <w:rFonts w:ascii="Times New Roman" w:cs="Times New Roman" w:eastAsia="Times New Roman" w:hAnsi="Times New Roman"/>
                  <w:sz w:val="12"/>
                  <w:szCs w:val="12"/>
                  <w:color w:val="0000FF"/>
                </w:rPr>
                <w:t>Electric</w:t>
              </w:r>
            </w:hyperlink>
          </w:p>
        </w:tc>
        <w:tc>
          <w:tcPr>
            <w:tcW w:w="1900" w:type="dxa"/>
            <w:vAlign w:val="bottom"/>
            <w:tcBorders>
              <w:top w:val="single" w:sz="8" w:color="0000FF"/>
            </w:tcBorders>
            <w:gridSpan w:val="12"/>
          </w:tcPr>
          <w:p>
            <w:pPr>
              <w:spacing w:after="0"/>
              <w:rPr>
                <w:sz w:val="9"/>
                <w:szCs w:val="9"/>
                <w:color w:val="auto"/>
              </w:rPr>
            </w:pPr>
          </w:p>
        </w:tc>
        <w:tc>
          <w:tcPr>
            <w:tcW w:w="160" w:type="dxa"/>
            <w:vAlign w:val="bottom"/>
            <w:gridSpan w:val="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3(c)</w:t>
            </w:r>
          </w:p>
        </w:tc>
        <w:tc>
          <w:tcPr>
            <w:tcW w:w="284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7">
              <w:r>
                <w:rPr>
                  <w:rFonts w:ascii="Times New Roman" w:cs="Times New Roman" w:eastAsia="Times New Roman" w:hAnsi="Times New Roman"/>
                  <w:sz w:val="13"/>
                  <w:szCs w:val="13"/>
                  <w:color w:val="0000FF"/>
                </w:rPr>
                <w:t>Certificate of Incorporation of RERC Corp.</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3(d)</w:t>
            </w:r>
          </w:p>
        </w:tc>
        <w:tc>
          <w:tcPr>
            <w:tcW w:w="284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8">
              <w:r>
                <w:rPr>
                  <w:rFonts w:ascii="Times New Roman" w:cs="Times New Roman" w:eastAsia="Times New Roman" w:hAnsi="Times New Roman"/>
                  <w:sz w:val="13"/>
                  <w:szCs w:val="13"/>
                  <w:color w:val="0000FF"/>
                </w:rPr>
                <w:t>Certificate of Amendment changing the name to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28">
              <w:r>
                <w:rPr>
                  <w:rFonts w:ascii="Times New Roman" w:cs="Times New Roman" w:eastAsia="Times New Roman" w:hAnsi="Times New Roman"/>
                  <w:sz w:val="12"/>
                  <w:szCs w:val="12"/>
                  <w:color w:val="0000FF"/>
                </w:rPr>
                <w:t>Reliant Energy Resources Corp.</w:t>
              </w:r>
            </w:hyperlink>
          </w:p>
        </w:tc>
        <w:tc>
          <w:tcPr>
            <w:tcW w:w="820" w:type="dxa"/>
            <w:vAlign w:val="bottom"/>
            <w:tcBorders>
              <w:top w:val="single" w:sz="8" w:color="0000FF"/>
            </w:tcBorders>
            <w:gridSpan w:val="15"/>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3(e)</w:t>
            </w:r>
          </w:p>
        </w:tc>
        <w:tc>
          <w:tcPr>
            <w:tcW w:w="284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9">
              <w:r>
                <w:rPr>
                  <w:rFonts w:ascii="Times New Roman" w:cs="Times New Roman" w:eastAsia="Times New Roman" w:hAnsi="Times New Roman"/>
                  <w:sz w:val="13"/>
                  <w:szCs w:val="13"/>
                  <w:color w:val="0000FF"/>
                </w:rPr>
                <w:t>Certificate of Amendment changing the name to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29">
              <w:r>
                <w:rPr>
                  <w:rFonts w:ascii="Times New Roman" w:cs="Times New Roman" w:eastAsia="Times New Roman" w:hAnsi="Times New Roman"/>
                  <w:sz w:val="12"/>
                  <w:szCs w:val="12"/>
                  <w:color w:val="0000FF"/>
                </w:rPr>
                <w:t>CenterPoint Energy Resources Corp.</w:t>
              </w:r>
            </w:hyperlink>
          </w:p>
        </w:tc>
        <w:tc>
          <w:tcPr>
            <w:tcW w:w="560" w:type="dxa"/>
            <w:vAlign w:val="bottom"/>
            <w:tcBorders>
              <w:top w:val="single" w:sz="8" w:color="0000FF"/>
            </w:tcBorders>
            <w:gridSpan w:val="1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w w:val="99"/>
              </w:rPr>
              <w:t>CenterPoint Energy’s Form 10-</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8"/>
              </w:rPr>
              <w:t>2.4</w:t>
            </w:r>
          </w:p>
        </w:tc>
        <w:tc>
          <w:tcPr>
            <w:tcW w:w="100" w:type="dxa"/>
            <w:vAlign w:val="bottom"/>
          </w:tcPr>
          <w:p>
            <w:pPr>
              <w:spacing w:after="0"/>
              <w:rPr>
                <w:sz w:val="10"/>
                <w:szCs w:val="10"/>
                <w:color w:val="auto"/>
              </w:rPr>
            </w:pPr>
          </w:p>
        </w:tc>
        <w:tc>
          <w:tcPr>
            <w:tcW w:w="1060" w:type="dxa"/>
            <w:vAlign w:val="bottom"/>
            <w:tcBorders>
              <w:top w:val="single" w:sz="8" w:color="auto"/>
            </w:tcBorders>
          </w:tcPr>
          <w:p>
            <w:pPr>
              <w:ind w:left="480"/>
              <w:spacing w:after="0" w:line="123" w:lineRule="exact"/>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 for the quarter ended March</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31, 2021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w:t>
            </w:r>
          </w:p>
        </w:tc>
        <w:tc>
          <w:tcPr>
            <w:tcW w:w="100" w:type="dxa"/>
            <w:vAlign w:val="bottom"/>
          </w:tcPr>
          <w:p>
            <w:pPr>
              <w:spacing w:after="0"/>
              <w:rPr>
                <w:sz w:val="22"/>
                <w:szCs w:val="22"/>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February 19, 2024</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October 20,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July 24, 2008</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Houston Electric’s Form 10-Q</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40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for the quarter ended June 30,</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3(a)(1)</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ended December 31, 1997</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3(a)(3)</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ended December 31, 1998</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Form 10-Q for the</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3(a)(4)</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 ended June 30, 2003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120" w:space="100"/>
            <w:col w:w="7060"/>
          </w:cols>
          <w:pgMar w:left="300" w:top="1110" w:right="31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0" w:right="319" w:bottom="1440" w:gutter="0" w:footer="0" w:header="0"/>
          <w:type w:val="continuous"/>
        </w:sectPr>
      </w:pPr>
    </w:p>
    <w:bookmarkStart w:id="198" w:name="page199"/>
    <w:bookmarkEnd w:id="198"/>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2"/>
              </w:rPr>
              <w:t>3(f)</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8"/>
          </w:tcPr>
          <w:p>
            <w:pPr>
              <w:spacing w:after="0" w:line="137" w:lineRule="exact"/>
              <w:rPr>
                <w:rFonts w:ascii="Times New Roman" w:cs="Times New Roman" w:eastAsia="Times New Roman" w:hAnsi="Times New Roman"/>
                <w:sz w:val="13"/>
                <w:szCs w:val="13"/>
                <w:color w:val="0000FF"/>
              </w:rPr>
            </w:pPr>
            <w:hyperlink r:id="rId231">
              <w:r>
                <w:rPr>
                  <w:rFonts w:ascii="Times New Roman" w:cs="Times New Roman" w:eastAsia="Times New Roman" w:hAnsi="Times New Roman"/>
                  <w:sz w:val="13"/>
                  <w:szCs w:val="13"/>
                  <w:color w:val="0000FF"/>
                </w:rPr>
                <w:t>Fifth Amended and Restated Bylaws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31">
              <w:r>
                <w:rPr>
                  <w:rFonts w:ascii="Times New Roman" w:cs="Times New Roman" w:eastAsia="Times New Roman" w:hAnsi="Times New Roman"/>
                  <w:sz w:val="12"/>
                  <w:szCs w:val="12"/>
                  <w:color w:val="0000FF"/>
                </w:rPr>
                <w:t>CenterPoint Energy</w:t>
              </w:r>
            </w:hyperlink>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3(g)</w:t>
            </w:r>
          </w:p>
        </w:tc>
        <w:tc>
          <w:tcPr>
            <w:tcW w:w="2840" w:type="dxa"/>
            <w:vAlign w:val="bottom"/>
            <w:gridSpan w:val="1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2">
              <w:r>
                <w:rPr>
                  <w:rFonts w:ascii="Times New Roman" w:cs="Times New Roman" w:eastAsia="Times New Roman" w:hAnsi="Times New Roman"/>
                  <w:sz w:val="13"/>
                  <w:szCs w:val="13"/>
                  <w:color w:val="0000FF"/>
                </w:rPr>
                <w:t>Amended and Restated Limited Liability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32">
              <w:r>
                <w:rPr>
                  <w:rFonts w:ascii="Times New Roman" w:cs="Times New Roman" w:eastAsia="Times New Roman" w:hAnsi="Times New Roman"/>
                  <w:sz w:val="12"/>
                  <w:szCs w:val="12"/>
                  <w:color w:val="0000FF"/>
                </w:rPr>
                <w:t>Company Agreement of Houston Electric</w:t>
              </w:r>
            </w:hyperlink>
          </w:p>
        </w:tc>
        <w:tc>
          <w:tcPr>
            <w:tcW w:w="40" w:type="dxa"/>
            <w:vAlign w:val="bottom"/>
            <w:tcBorders>
              <w:bottom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3(h)</w:t>
            </w:r>
          </w:p>
        </w:tc>
        <w:tc>
          <w:tcPr>
            <w:tcW w:w="2840" w:type="dxa"/>
            <w:vAlign w:val="bottom"/>
            <w:gridSpan w:val="1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7">
              <w:r>
                <w:rPr>
                  <w:rFonts w:ascii="Times New Roman" w:cs="Times New Roman" w:eastAsia="Times New Roman" w:hAnsi="Times New Roman"/>
                  <w:sz w:val="13"/>
                  <w:szCs w:val="13"/>
                  <w:color w:val="0000FF"/>
                </w:rPr>
                <w:t>Bylaws of RERC Corp.</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3(i)</w:t>
            </w:r>
          </w:p>
        </w:tc>
        <w:tc>
          <w:tcPr>
            <w:tcW w:w="2840" w:type="dxa"/>
            <w:vAlign w:val="bottom"/>
            <w:gridSpan w:val="1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3">
              <w:r>
                <w:rPr>
                  <w:rFonts w:ascii="Times New Roman" w:cs="Times New Roman" w:eastAsia="Times New Roman" w:hAnsi="Times New Roman"/>
                  <w:sz w:val="13"/>
                  <w:szCs w:val="13"/>
                  <w:color w:val="0000FF"/>
                </w:rPr>
                <w:t>Statement of Resolutions Deleting Shares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33">
              <w:r>
                <w:rPr>
                  <w:rFonts w:ascii="Times New Roman" w:cs="Times New Roman" w:eastAsia="Times New Roman" w:hAnsi="Times New Roman"/>
                  <w:sz w:val="12"/>
                  <w:szCs w:val="12"/>
                  <w:color w:val="0000FF"/>
                </w:rPr>
                <w:t>Designated Series A Preferred Stock of</w:t>
              </w:r>
            </w:hyperlink>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33">
              <w:r>
                <w:rPr>
                  <w:rFonts w:ascii="Times New Roman" w:cs="Times New Roman" w:eastAsia="Times New Roman" w:hAnsi="Times New Roman"/>
                  <w:sz w:val="12"/>
                  <w:szCs w:val="12"/>
                  <w:color w:val="0000FF"/>
                </w:rPr>
                <w:t>CenterPoint Energy</w:t>
              </w:r>
            </w:hyperlink>
          </w:p>
        </w:tc>
        <w:tc>
          <w:tcPr>
            <w:tcW w:w="340" w:type="dxa"/>
            <w:vAlign w:val="bottom"/>
            <w:gridSpan w:val="4"/>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4(a)</w:t>
            </w:r>
          </w:p>
        </w:tc>
        <w:tc>
          <w:tcPr>
            <w:tcW w:w="2840" w:type="dxa"/>
            <w:vAlign w:val="bottom"/>
            <w:gridSpan w:val="1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4">
              <w:r>
                <w:rPr>
                  <w:rFonts w:ascii="Times New Roman" w:cs="Times New Roman" w:eastAsia="Times New Roman" w:hAnsi="Times New Roman"/>
                  <w:sz w:val="13"/>
                  <w:szCs w:val="13"/>
                  <w:color w:val="0000FF"/>
                </w:rPr>
                <w:t>Form of CenterPoint Energy Stock Certificate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34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4(b)(1)</w:t>
            </w:r>
          </w:p>
        </w:tc>
        <w:tc>
          <w:tcPr>
            <w:tcW w:w="2840" w:type="dxa"/>
            <w:vAlign w:val="bottom"/>
            <w:gridSpan w:val="10"/>
          </w:tcPr>
          <w:p>
            <w:pPr>
              <w:ind w:left="20"/>
              <w:spacing w:after="0"/>
              <w:rPr>
                <w:sz w:val="20"/>
                <w:szCs w:val="20"/>
                <w:color w:val="auto"/>
              </w:rPr>
            </w:pPr>
            <w:r>
              <w:rPr>
                <w:rFonts w:ascii="Times New Roman" w:cs="Times New Roman" w:eastAsia="Times New Roman" w:hAnsi="Times New Roman"/>
                <w:sz w:val="13"/>
                <w:szCs w:val="13"/>
                <w:color w:val="auto"/>
              </w:rPr>
              <w:t>—   Mortgage and Deed of Trust, dated November 1,</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1944 between Houston Lighting and Power</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Company (HL&amp;P) and Chase Bank of Texas,</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National Association (formerly, South Texas</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Commercial National Bank of Houston), as</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Trustee, as amended and supplemented by 20</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Supplemental Indentures thereto</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4(b)(2)</w:t>
            </w:r>
          </w:p>
        </w:tc>
        <w:tc>
          <w:tcPr>
            <w:tcW w:w="2840" w:type="dxa"/>
            <w:vAlign w:val="bottom"/>
            <w:gridSpan w:val="10"/>
          </w:tcPr>
          <w:p>
            <w:pPr>
              <w:ind w:left="20"/>
              <w:spacing w:after="0" w:line="132" w:lineRule="exact"/>
              <w:rPr>
                <w:sz w:val="20"/>
                <w:szCs w:val="20"/>
                <w:color w:val="auto"/>
              </w:rPr>
            </w:pPr>
            <w:r>
              <w:rPr>
                <w:rFonts w:ascii="Times New Roman" w:cs="Times New Roman" w:eastAsia="Times New Roman" w:hAnsi="Times New Roman"/>
                <w:sz w:val="13"/>
                <w:szCs w:val="13"/>
                <w:color w:val="auto"/>
              </w:rPr>
              <w:t>—   Twenty-First through Fiftieth Supplemental</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Indentures to Exhibit 4(b)(1)</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4(b)(3)</w:t>
            </w:r>
          </w:p>
        </w:tc>
        <w:tc>
          <w:tcPr>
            <w:tcW w:w="2840" w:type="dxa"/>
            <w:vAlign w:val="bottom"/>
            <w:gridSpan w:val="10"/>
          </w:tcPr>
          <w:p>
            <w:pPr>
              <w:ind w:left="20"/>
              <w:spacing w:after="0" w:line="132" w:lineRule="exact"/>
              <w:rPr>
                <w:sz w:val="20"/>
                <w:szCs w:val="20"/>
                <w:color w:val="auto"/>
              </w:rPr>
            </w:pPr>
            <w:r>
              <w:rPr>
                <w:rFonts w:ascii="Times New Roman" w:cs="Times New Roman" w:eastAsia="Times New Roman" w:hAnsi="Times New Roman"/>
                <w:sz w:val="13"/>
                <w:szCs w:val="13"/>
                <w:color w:val="auto"/>
              </w:rPr>
              <w:t>—   Fifty-First Supplemental Indenture to Exhibit</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4(b)(1) dated as of March 25, 1991</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4(b)(4)</w:t>
            </w:r>
          </w:p>
        </w:tc>
        <w:tc>
          <w:tcPr>
            <w:tcW w:w="2840" w:type="dxa"/>
            <w:vAlign w:val="bottom"/>
            <w:gridSpan w:val="10"/>
          </w:tcPr>
          <w:p>
            <w:pPr>
              <w:ind w:left="20"/>
              <w:spacing w:after="0" w:line="132" w:lineRule="exact"/>
              <w:rPr>
                <w:sz w:val="20"/>
                <w:szCs w:val="20"/>
                <w:color w:val="auto"/>
              </w:rPr>
            </w:pPr>
            <w:r>
              <w:rPr>
                <w:rFonts w:ascii="Times New Roman" w:cs="Times New Roman" w:eastAsia="Times New Roman" w:hAnsi="Times New Roman"/>
                <w:sz w:val="13"/>
                <w:szCs w:val="13"/>
                <w:color w:val="auto"/>
              </w:rPr>
              <w:t>—   Fifty-Second through Fifty-Fifth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March 1, 1992</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4(b)(5)</w:t>
            </w:r>
          </w:p>
        </w:tc>
        <w:tc>
          <w:tcPr>
            <w:tcW w:w="2840" w:type="dxa"/>
            <w:vAlign w:val="bottom"/>
            <w:gridSpan w:val="10"/>
          </w:tcPr>
          <w:p>
            <w:pPr>
              <w:ind w:left="20"/>
              <w:spacing w:after="0" w:line="132" w:lineRule="exact"/>
              <w:rPr>
                <w:sz w:val="20"/>
                <w:szCs w:val="20"/>
                <w:color w:val="auto"/>
              </w:rPr>
            </w:pPr>
            <w:r>
              <w:rPr>
                <w:rFonts w:ascii="Times New Roman" w:cs="Times New Roman" w:eastAsia="Times New Roman" w:hAnsi="Times New Roman"/>
                <w:sz w:val="13"/>
                <w:szCs w:val="13"/>
                <w:color w:val="auto"/>
              </w:rPr>
              <w:t>—   Fifty-Sixth and Fifty-Seventh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October 1, 1992</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4(b)(6)</w:t>
            </w:r>
          </w:p>
        </w:tc>
        <w:tc>
          <w:tcPr>
            <w:tcW w:w="2840" w:type="dxa"/>
            <w:vAlign w:val="bottom"/>
            <w:gridSpan w:val="10"/>
          </w:tcPr>
          <w:p>
            <w:pPr>
              <w:ind w:left="20"/>
              <w:spacing w:after="0" w:line="132" w:lineRule="exact"/>
              <w:rPr>
                <w:sz w:val="20"/>
                <w:szCs w:val="20"/>
                <w:color w:val="auto"/>
              </w:rPr>
            </w:pPr>
            <w:r>
              <w:rPr>
                <w:rFonts w:ascii="Times New Roman" w:cs="Times New Roman" w:eastAsia="Times New Roman" w:hAnsi="Times New Roman"/>
                <w:sz w:val="13"/>
                <w:szCs w:val="13"/>
                <w:color w:val="auto"/>
              </w:rPr>
              <w:t>—   Fifty-Eighth and Fifty-Ninth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8"/>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March 1, 1993</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4(b)(7)</w:t>
            </w:r>
          </w:p>
        </w:tc>
        <w:tc>
          <w:tcPr>
            <w:tcW w:w="2840" w:type="dxa"/>
            <w:vAlign w:val="bottom"/>
            <w:gridSpan w:val="10"/>
          </w:tcPr>
          <w:p>
            <w:pPr>
              <w:ind w:left="20"/>
              <w:spacing w:after="0" w:line="132" w:lineRule="exact"/>
              <w:rPr>
                <w:sz w:val="20"/>
                <w:szCs w:val="20"/>
                <w:color w:val="auto"/>
              </w:rPr>
            </w:pPr>
            <w:r>
              <w:rPr>
                <w:rFonts w:ascii="Times New Roman" w:cs="Times New Roman" w:eastAsia="Times New Roman" w:hAnsi="Times New Roman"/>
                <w:sz w:val="13"/>
                <w:szCs w:val="13"/>
                <w:color w:val="auto"/>
              </w:rPr>
              <w:t>—   Sixtieth Supplemental Indenture to Exhibit 4(b)</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(1) dated as of July 1, 1993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September 26, 2025</w:t>
      </w:r>
    </w:p>
    <w:p>
      <w:pPr>
        <w:spacing w:after="0" w:line="4" w:lineRule="exact"/>
        <w:rPr>
          <w:sz w:val="20"/>
          <w:szCs w:val="20"/>
          <w:color w:val="auto"/>
        </w:rPr>
      </w:pPr>
    </w:p>
    <w:p>
      <w:pPr>
        <w:jc w:val="both"/>
        <w:ind w:right="100"/>
        <w:spacing w:after="0" w:line="224" w:lineRule="auto"/>
        <w:rPr>
          <w:sz w:val="20"/>
          <w:szCs w:val="20"/>
          <w:color w:val="auto"/>
        </w:rPr>
      </w:pPr>
      <w:r>
        <w:rPr>
          <w:rFonts w:ascii="Times New Roman" w:cs="Times New Roman" w:eastAsia="Times New Roman" w:hAnsi="Times New Roman"/>
          <w:sz w:val="13"/>
          <w:szCs w:val="13"/>
          <w:color w:val="auto"/>
        </w:rPr>
        <w:t>Houston Electric’s Form 10-Q for the quarter ended June 30, 2011</w:t>
      </w:r>
    </w:p>
    <w:p>
      <w:pPr>
        <w:spacing w:after="0" w:line="6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2"/>
          <w:szCs w:val="12"/>
          <w:color w:val="auto"/>
        </w:rPr>
        <w:t>CERC Form 10-K for the year ended December 31, 1997</w:t>
      </w: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2011</w:t>
      </w:r>
    </w:p>
    <w:p>
      <w:pPr>
        <w:spacing w:after="0" w:line="197" w:lineRule="exact"/>
        <w:rPr>
          <w:sz w:val="20"/>
          <w:szCs w:val="20"/>
          <w:color w:val="auto"/>
        </w:rPr>
      </w:pPr>
    </w:p>
    <w:p>
      <w:pPr>
        <w:ind w:right="320"/>
        <w:spacing w:after="0" w:line="224" w:lineRule="auto"/>
        <w:rPr>
          <w:sz w:val="20"/>
          <w:szCs w:val="20"/>
          <w:color w:val="auto"/>
        </w:rPr>
      </w:pPr>
      <w:r>
        <w:rPr>
          <w:rFonts w:ascii="Times New Roman" w:cs="Times New Roman" w:eastAsia="Times New Roman" w:hAnsi="Times New Roman"/>
          <w:sz w:val="13"/>
          <w:szCs w:val="13"/>
          <w:color w:val="auto"/>
        </w:rPr>
        <w:t>CenterPoint Energy’s Registration Statement on Form S-4</w:t>
      </w:r>
    </w:p>
    <w:p>
      <w:pPr>
        <w:spacing w:after="0" w:line="6"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13"/>
          <w:szCs w:val="13"/>
          <w:color w:val="auto"/>
        </w:rPr>
        <w:t>HL&amp;P’s Form S-7 filed on August 25, 1977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HL&amp;P’s Form 10-K for the year ended December 31, 1989</w:t>
      </w:r>
    </w:p>
    <w:p>
      <w:pPr>
        <w:spacing w:after="0" w:line="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2"/>
          <w:szCs w:val="12"/>
          <w:color w:val="auto"/>
        </w:rPr>
        <w:t>HL&amp;P’s Form 10-Q for the quarter ended June 30, 1991</w:t>
      </w:r>
    </w:p>
    <w:p>
      <w:pPr>
        <w:ind w:right="120"/>
        <w:spacing w:after="0" w:line="269" w:lineRule="auto"/>
        <w:rPr>
          <w:sz w:val="20"/>
          <w:szCs w:val="20"/>
          <w:color w:val="auto"/>
        </w:rPr>
      </w:pPr>
      <w:r>
        <w:rPr>
          <w:rFonts w:ascii="Times New Roman" w:cs="Times New Roman" w:eastAsia="Times New Roman" w:hAnsi="Times New Roman"/>
          <w:sz w:val="12"/>
          <w:szCs w:val="12"/>
          <w:color w:val="auto"/>
        </w:rPr>
        <w:t>HL&amp;P’s Form 10-Q for the quarter ended March 31, 1992</w:t>
      </w:r>
    </w:p>
    <w:p>
      <w:pPr>
        <w:spacing w:after="0" w:line="115"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13"/>
          <w:szCs w:val="13"/>
          <w:color w:val="auto"/>
        </w:rPr>
        <w:t>HL&amp;P’s Form 10-Q for the quarter ended September 30, 1992</w:t>
      </w:r>
    </w:p>
    <w:p>
      <w:pPr>
        <w:spacing w:after="0" w:line="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2"/>
          <w:szCs w:val="12"/>
          <w:color w:val="auto"/>
        </w:rPr>
        <w:t>HL&amp;P’s Form 10-Q for the quarter ended March 31, 1993</w:t>
      </w:r>
    </w:p>
    <w:p>
      <w:pPr>
        <w:spacing w:after="0" w:line="11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2"/>
          <w:szCs w:val="12"/>
          <w:color w:val="auto"/>
        </w:rPr>
        <w:t>HL&amp;P’s Form 10-Q for the quarter ended June 30, 1993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3(b)</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3(c)</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333-69502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2-59748</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2(b)</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380" w:type="dxa"/>
        <w:tblCellMar>
          <w:top w:w="0" w:type="dxa"/>
          <w:left w:w="0" w:type="dxa"/>
          <w:bottom w:w="0" w:type="dxa"/>
          <w:right w:w="0" w:type="dxa"/>
        </w:tblCellMar>
      </w:tblPr>
      <w:tr>
        <w:trPr>
          <w:trHeight w:val="165"/>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4(a)(2)</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297"/>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4(a)</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297"/>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bl>
    <w:p>
      <w:pPr>
        <w:spacing w:after="0" w:line="343" w:lineRule="exact"/>
        <w:rPr>
          <w:sz w:val="20"/>
          <w:szCs w:val="20"/>
          <w:color w:val="auto"/>
        </w:rPr>
      </w:pPr>
    </w:p>
    <w:p>
      <w:pPr>
        <w:sectPr>
          <w:pgSz w:w="11900" w:h="16838" w:orient="portrait"/>
          <w:cols w:equalWidth="0" w:num="3">
            <w:col w:w="4120" w:space="120"/>
            <w:col w:w="1640" w:space="120"/>
            <w:col w:w="5280"/>
          </w:cols>
          <w:pgMar w:left="300" w:top="747" w:right="31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199" w:name="page200"/>
    <w:bookmarkEnd w:id="199"/>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21"/>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4(b)(8)</w:t>
            </w:r>
          </w:p>
        </w:tc>
        <w:tc>
          <w:tcPr>
            <w:tcW w:w="3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2540" w:type="dxa"/>
            <w:vAlign w:val="bottom"/>
            <w:gridSpan w:val="24"/>
          </w:tcPr>
          <w:p>
            <w:pPr>
              <w:spacing w:after="0" w:line="126" w:lineRule="exact"/>
              <w:rPr>
                <w:sz w:val="20"/>
                <w:szCs w:val="20"/>
                <w:color w:val="auto"/>
              </w:rPr>
            </w:pPr>
            <w:r>
              <w:rPr>
                <w:rFonts w:ascii="Times New Roman" w:cs="Times New Roman" w:eastAsia="Times New Roman" w:hAnsi="Times New Roman"/>
                <w:sz w:val="13"/>
                <w:szCs w:val="13"/>
                <w:color w:val="auto"/>
              </w:rPr>
              <w:t>Sixty-First through Sixty-Third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gridSpan w:val="24"/>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December 1, 1993</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4(b)(9)</w:t>
            </w:r>
          </w:p>
        </w:tc>
        <w:tc>
          <w:tcPr>
            <w:tcW w:w="2860" w:type="dxa"/>
            <w:vAlign w:val="bottom"/>
            <w:gridSpan w:val="26"/>
          </w:tcPr>
          <w:p>
            <w:pPr>
              <w:ind w:left="20"/>
              <w:spacing w:after="0" w:line="132" w:lineRule="exact"/>
              <w:rPr>
                <w:sz w:val="20"/>
                <w:szCs w:val="20"/>
                <w:color w:val="auto"/>
              </w:rPr>
            </w:pPr>
            <w:r>
              <w:rPr>
                <w:rFonts w:ascii="Times New Roman" w:cs="Times New Roman" w:eastAsia="Times New Roman" w:hAnsi="Times New Roman"/>
                <w:sz w:val="13"/>
                <w:szCs w:val="13"/>
                <w:color w:val="auto"/>
              </w:rPr>
              <w:t>—   Sixty-Fourth and Sixty-Fifth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gridSpan w:val="24"/>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July 1, 1995</w:t>
            </w:r>
          </w:p>
        </w:tc>
        <w:tc>
          <w:tcPr>
            <w:tcW w:w="0" w:type="dxa"/>
            <w:vAlign w:val="bottom"/>
          </w:tcPr>
          <w:p>
            <w:pPr>
              <w:spacing w:after="0"/>
              <w:rPr>
                <w:sz w:val="1"/>
                <w:szCs w:val="1"/>
                <w:color w:val="auto"/>
              </w:rPr>
            </w:pPr>
          </w:p>
        </w:tc>
      </w:tr>
      <w:tr>
        <w:trPr>
          <w:trHeight w:val="142"/>
        </w:trPr>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4"/>
              </w:rPr>
              <w:t>4(c)(1)</w:t>
            </w:r>
          </w:p>
        </w:tc>
        <w:tc>
          <w:tcPr>
            <w:tcW w:w="2860" w:type="dxa"/>
            <w:vAlign w:val="bottom"/>
            <w:gridSpan w:val="26"/>
          </w:tcPr>
          <w:p>
            <w:pPr>
              <w:ind w:left="2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7">
              <w:r>
                <w:rPr>
                  <w:rFonts w:ascii="Times New Roman" w:cs="Times New Roman" w:eastAsia="Times New Roman" w:hAnsi="Times New Roman"/>
                  <w:sz w:val="13"/>
                  <w:szCs w:val="13"/>
                  <w:color w:val="0000FF"/>
                </w:rPr>
                <w:t>General Mortgage Indenture,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October 10, 2002, between CenterPoint</w:t>
              </w:r>
            </w:hyperlink>
          </w:p>
        </w:tc>
        <w:tc>
          <w:tcPr>
            <w:tcW w:w="480" w:type="dxa"/>
            <w:vAlign w:val="bottom"/>
            <w:gridSpan w:val="15"/>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Houston Electric, LLC and JPMorgan Chase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Bank, as Trustee</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4(c)(2)</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8">
              <w:r>
                <w:rPr>
                  <w:rFonts w:ascii="Times New Roman" w:cs="Times New Roman" w:eastAsia="Times New Roman" w:hAnsi="Times New Roman"/>
                  <w:sz w:val="13"/>
                  <w:szCs w:val="13"/>
                  <w:color w:val="0000FF"/>
                </w:rPr>
                <w:t>Third Supplemental Indenture to Exhibit 4(c)(1),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38">
              <w:r>
                <w:rPr>
                  <w:rFonts w:ascii="Times New Roman" w:cs="Times New Roman" w:eastAsia="Times New Roman" w:hAnsi="Times New Roman"/>
                  <w:sz w:val="12"/>
                  <w:szCs w:val="12"/>
                  <w:color w:val="0000FF"/>
                </w:rPr>
                <w:t>dated as of October 10, 2002</w:t>
              </w:r>
            </w:hyperlink>
          </w:p>
        </w:tc>
        <w:tc>
          <w:tcPr>
            <w:tcW w:w="1000" w:type="dxa"/>
            <w:vAlign w:val="bottom"/>
            <w:tcBorders>
              <w:top w:val="single" w:sz="8" w:color="0000FF"/>
            </w:tcBorders>
            <w:gridSpan w:val="1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4(c)(3)</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9">
              <w:r>
                <w:rPr>
                  <w:rFonts w:ascii="Times New Roman" w:cs="Times New Roman" w:eastAsia="Times New Roman" w:hAnsi="Times New Roman"/>
                  <w:sz w:val="13"/>
                  <w:szCs w:val="13"/>
                  <w:color w:val="0000FF"/>
                </w:rPr>
                <w:t>Officer’s Certificates dated October 10, 2002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4"/>
          </w:tcPr>
          <w:p>
            <w:pPr>
              <w:spacing w:after="0" w:line="107" w:lineRule="exact"/>
              <w:rPr>
                <w:rFonts w:ascii="Times New Roman" w:cs="Times New Roman" w:eastAsia="Times New Roman" w:hAnsi="Times New Roman"/>
                <w:sz w:val="12"/>
                <w:szCs w:val="12"/>
                <w:color w:val="0000FF"/>
              </w:rPr>
            </w:pPr>
            <w:hyperlink r:id="rId239">
              <w:r>
                <w:rPr>
                  <w:rFonts w:ascii="Times New Roman" w:cs="Times New Roman" w:eastAsia="Times New Roman" w:hAnsi="Times New Roman"/>
                  <w:sz w:val="12"/>
                  <w:szCs w:val="12"/>
                  <w:color w:val="0000FF"/>
                </w:rPr>
                <w:t>setting forth the form, terms and provisions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39">
              <w:r>
                <w:rPr>
                  <w:rFonts w:ascii="Times New Roman" w:cs="Times New Roman" w:eastAsia="Times New Roman" w:hAnsi="Times New Roman"/>
                  <w:sz w:val="12"/>
                  <w:szCs w:val="12"/>
                  <w:color w:val="0000FF"/>
                </w:rPr>
                <w:t>the First through Eighth Series of General</w:t>
              </w:r>
            </w:hyperlink>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39">
              <w:r>
                <w:rPr>
                  <w:rFonts w:ascii="Times New Roman" w:cs="Times New Roman" w:eastAsia="Times New Roman" w:hAnsi="Times New Roman"/>
                  <w:sz w:val="12"/>
                  <w:szCs w:val="12"/>
                  <w:color w:val="0000FF"/>
                </w:rPr>
                <w:t>Mortgage Bonds</w:t>
              </w:r>
            </w:hyperlink>
          </w:p>
        </w:tc>
        <w:tc>
          <w:tcPr>
            <w:tcW w:w="1280" w:type="dxa"/>
            <w:vAlign w:val="bottom"/>
            <w:tcBorders>
              <w:top w:val="single" w:sz="8" w:color="0000FF"/>
            </w:tcBorders>
            <w:gridSpan w:val="7"/>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4(c)(4)</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0">
              <w:r>
                <w:rPr>
                  <w:rFonts w:ascii="Times New Roman" w:cs="Times New Roman" w:eastAsia="Times New Roman" w:hAnsi="Times New Roman"/>
                  <w:sz w:val="13"/>
                  <w:szCs w:val="13"/>
                  <w:color w:val="0000FF"/>
                </w:rPr>
                <w:t>Ninth Supplemental Indenture to Exhibit 4(c)(1),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40">
              <w:r>
                <w:rPr>
                  <w:rFonts w:ascii="Times New Roman" w:cs="Times New Roman" w:eastAsia="Times New Roman" w:hAnsi="Times New Roman"/>
                  <w:sz w:val="12"/>
                  <w:szCs w:val="12"/>
                  <w:color w:val="0000FF"/>
                </w:rPr>
                <w:t>dated as of November 12, 2002</w:t>
              </w:r>
            </w:hyperlink>
          </w:p>
        </w:tc>
        <w:tc>
          <w:tcPr>
            <w:tcW w:w="920" w:type="dxa"/>
            <w:vAlign w:val="bottom"/>
            <w:tcBorders>
              <w:top w:val="single" w:sz="8" w:color="0000FF"/>
            </w:tcBorders>
            <w:gridSpan w:val="1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4(c)(5)</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1">
              <w:r>
                <w:rPr>
                  <w:rFonts w:ascii="Times New Roman" w:cs="Times New Roman" w:eastAsia="Times New Roman" w:hAnsi="Times New Roman"/>
                  <w:sz w:val="13"/>
                  <w:szCs w:val="13"/>
                  <w:color w:val="0000FF"/>
                </w:rPr>
                <w:t>Tenth Supplemental Indenture to Exhibit 4(c)(1),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41">
              <w:r>
                <w:rPr>
                  <w:rFonts w:ascii="Times New Roman" w:cs="Times New Roman" w:eastAsia="Times New Roman" w:hAnsi="Times New Roman"/>
                  <w:sz w:val="12"/>
                  <w:szCs w:val="12"/>
                  <w:color w:val="0000FF"/>
                </w:rPr>
                <w:t>dated as of March 18, 2003</w:t>
              </w:r>
            </w:hyperlink>
          </w:p>
        </w:tc>
        <w:tc>
          <w:tcPr>
            <w:tcW w:w="1100" w:type="dxa"/>
            <w:vAlign w:val="bottom"/>
            <w:tcBorders>
              <w:top w:val="single" w:sz="8" w:color="0000FF"/>
            </w:tcBorders>
            <w:gridSpan w:val="18"/>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4(c)(6)</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2">
              <w:r>
                <w:rPr>
                  <w:rFonts w:ascii="Times New Roman" w:cs="Times New Roman" w:eastAsia="Times New Roman" w:hAnsi="Times New Roman"/>
                  <w:sz w:val="13"/>
                  <w:szCs w:val="13"/>
                  <w:color w:val="0000FF"/>
                </w:rPr>
                <w:t>Officer’s Certificate dated March 18, 2003</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42">
              <w:r>
                <w:rPr>
                  <w:rFonts w:ascii="Times New Roman" w:cs="Times New Roman" w:eastAsia="Times New Roman" w:hAnsi="Times New Roman"/>
                  <w:sz w:val="12"/>
                  <w:szCs w:val="12"/>
                  <w:color w:val="0000FF"/>
                </w:rPr>
                <w:t>setting forth the form, terms and provisions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10"/>
          </w:tcPr>
          <w:p>
            <w:pPr>
              <w:spacing w:after="0" w:line="107" w:lineRule="exact"/>
              <w:rPr>
                <w:rFonts w:ascii="Times New Roman" w:cs="Times New Roman" w:eastAsia="Times New Roman" w:hAnsi="Times New Roman"/>
                <w:sz w:val="12"/>
                <w:szCs w:val="12"/>
                <w:color w:val="0000FF"/>
              </w:rPr>
            </w:pPr>
            <w:hyperlink r:id="rId242">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42">
              <w:r>
                <w:rPr>
                  <w:rFonts w:ascii="Times New Roman" w:cs="Times New Roman" w:eastAsia="Times New Roman" w:hAnsi="Times New Roman"/>
                  <w:sz w:val="12"/>
                  <w:szCs w:val="12"/>
                  <w:color w:val="0000FF"/>
                </w:rPr>
                <w:t>the Tenth Series and Eleventh Series of General</w:t>
              </w:r>
            </w:hyperlink>
          </w:p>
        </w:tc>
        <w:tc>
          <w:tcPr>
            <w:tcW w:w="10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42">
              <w:r>
                <w:rPr>
                  <w:rFonts w:ascii="Times New Roman" w:cs="Times New Roman" w:eastAsia="Times New Roman" w:hAnsi="Times New Roman"/>
                  <w:sz w:val="12"/>
                  <w:szCs w:val="12"/>
                  <w:color w:val="0000FF"/>
                </w:rPr>
                <w:t>Mortgage Bonds</w:t>
              </w:r>
            </w:hyperlink>
          </w:p>
        </w:tc>
        <w:tc>
          <w:tcPr>
            <w:tcW w:w="1600" w:type="dxa"/>
            <w:vAlign w:val="bottom"/>
            <w:gridSpan w:val="17"/>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4(c)(7)</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3">
              <w:r>
                <w:rPr>
                  <w:rFonts w:ascii="Times New Roman" w:cs="Times New Roman" w:eastAsia="Times New Roman" w:hAnsi="Times New Roman"/>
                  <w:sz w:val="13"/>
                  <w:szCs w:val="13"/>
                  <w:color w:val="0000FF"/>
                </w:rPr>
                <w:t>Twentieth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December 9, 2008</w:t>
              </w:r>
            </w:hyperlink>
          </w:p>
        </w:tc>
        <w:tc>
          <w:tcPr>
            <w:tcW w:w="380" w:type="dxa"/>
            <w:vAlign w:val="bottom"/>
            <w:tcBorders>
              <w:top w:val="single" w:sz="8" w:color="0000FF"/>
            </w:tcBorders>
            <w:gridSpan w:val="8"/>
          </w:tcPr>
          <w:p>
            <w:pPr>
              <w:spacing w:after="0"/>
              <w:rPr>
                <w:sz w:val="9"/>
                <w:szCs w:val="9"/>
                <w:color w:val="auto"/>
              </w:rPr>
            </w:pPr>
          </w:p>
        </w:tc>
        <w:tc>
          <w:tcPr>
            <w:tcW w:w="120" w:type="dxa"/>
            <w:vAlign w:val="bottom"/>
            <w:gridSpan w:val="3"/>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4(c)(8)</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4">
              <w:r>
                <w:rPr>
                  <w:rFonts w:ascii="Times New Roman" w:cs="Times New Roman" w:eastAsia="Times New Roman" w:hAnsi="Times New Roman"/>
                  <w:sz w:val="13"/>
                  <w:szCs w:val="13"/>
                  <w:color w:val="0000FF"/>
                </w:rPr>
                <w:t>Twenty-Second Supplemental Indenture to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44">
              <w:r>
                <w:rPr>
                  <w:rFonts w:ascii="Times New Roman" w:cs="Times New Roman" w:eastAsia="Times New Roman" w:hAnsi="Times New Roman"/>
                  <w:sz w:val="12"/>
                  <w:szCs w:val="12"/>
                  <w:color w:val="0000FF"/>
                </w:rPr>
                <w:t>Exhibit 4(c)(1) dated as of August 10, 2012</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5"/>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4(c)(9)</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5">
              <w:r>
                <w:rPr>
                  <w:rFonts w:ascii="Times New Roman" w:cs="Times New Roman" w:eastAsia="Times New Roman" w:hAnsi="Times New Roman"/>
                  <w:sz w:val="13"/>
                  <w:szCs w:val="13"/>
                  <w:color w:val="0000FF"/>
                </w:rPr>
                <w:t>Officer’s Certificate, dated August 10, 2012</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setting forth the form, terms and provisions</w:t>
              </w:r>
            </w:hyperlink>
          </w:p>
        </w:tc>
        <w:tc>
          <w:tcPr>
            <w:tcW w:w="300" w:type="dxa"/>
            <w:vAlign w:val="bottom"/>
            <w:gridSpan w:val="10"/>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the Twenty-Second Series of General Mortgage</w:t>
              </w:r>
            </w:hyperlink>
          </w:p>
        </w:tc>
        <w:tc>
          <w:tcPr>
            <w:tcW w:w="100" w:type="dxa"/>
            <w:vAlign w:val="bottom"/>
            <w:tcBorders>
              <w:bottom w:val="single" w:sz="8" w:color="0000FF"/>
            </w:tcBorders>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19"/>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Bonds</w:t>
              </w:r>
            </w:hyperlink>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7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4(c)(10)</w:t>
            </w:r>
          </w:p>
        </w:tc>
        <w:tc>
          <w:tcPr>
            <w:tcW w:w="286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6">
              <w:r>
                <w:rPr>
                  <w:rFonts w:ascii="Times New Roman" w:cs="Times New Roman" w:eastAsia="Times New Roman" w:hAnsi="Times New Roman"/>
                  <w:sz w:val="13"/>
                  <w:szCs w:val="13"/>
                  <w:color w:val="0000FF"/>
                </w:rPr>
                <w:t>Twenty-Third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46">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March 17, 2014</w:t>
              </w:r>
            </w:hyperlink>
          </w:p>
        </w:tc>
        <w:tc>
          <w:tcPr>
            <w:tcW w:w="720" w:type="dxa"/>
            <w:vAlign w:val="bottom"/>
            <w:tcBorders>
              <w:top w:val="single" w:sz="8" w:color="0000FF"/>
            </w:tcBorders>
            <w:gridSpan w:val="15"/>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HL&amp;P’s Form 10-K for the year ended December 31, 1993</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HL&amp;P’s Form 10-K for the year ended December 31, 1995</w:t>
      </w:r>
    </w:p>
    <w:p>
      <w:pPr>
        <w:spacing w:after="0" w:line="132"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3"/>
          <w:szCs w:val="13"/>
          <w:color w:val="auto"/>
        </w:rPr>
        <w:t>Houston Electric’s Form 10-Q for the quarter ended September 30, 2002</w:t>
      </w:r>
    </w:p>
    <w:p>
      <w:pPr>
        <w:spacing w:after="0" w:line="133"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3"/>
          <w:szCs w:val="13"/>
          <w:color w:val="auto"/>
        </w:rPr>
        <w:t>Houston Electric’s Form 10-Q for the quarter ended September 30, 2002</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2003</w:t>
      </w:r>
    </w:p>
    <w:p>
      <w:pPr>
        <w:spacing w:after="0" w:line="13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2002</w:t>
      </w:r>
    </w:p>
    <w:p>
      <w:pPr>
        <w:spacing w:after="0" w:line="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March 13, 2003</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March 13, 2003</w:t>
      </w:r>
    </w:p>
    <w:p>
      <w:pPr>
        <w:spacing w:after="0" w:line="259"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January 6, 2009</w:t>
      </w:r>
    </w:p>
    <w:p>
      <w:pPr>
        <w:spacing w:after="0" w:line="4"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2012</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2012</w:t>
      </w:r>
    </w:p>
    <w:p>
      <w:pPr>
        <w:spacing w:after="0" w:line="133"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4(a)(8)</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4(a)(9)</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4(j)(1)</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4(j)(4)</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4(e)(10)</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4(e)(10)</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4(e)(33)</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4(e)(34)</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4.10</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3" w:lineRule="exact"/>
        <w:rPr>
          <w:sz w:val="20"/>
          <w:szCs w:val="20"/>
          <w:color w:val="auto"/>
        </w:rPr>
      </w:pPr>
    </w:p>
    <w:p>
      <w:pPr>
        <w:sectPr>
          <w:pgSz w:w="11900" w:h="16838" w:orient="portrait"/>
          <w:cols w:equalWidth="0" w:num="3">
            <w:col w:w="4120" w:space="120"/>
            <w:col w:w="1640" w:space="120"/>
            <w:col w:w="5280"/>
          </w:cols>
          <w:pgMar w:left="300" w:top="747" w:right="31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0" w:name="page201"/>
    <w:bookmarkEnd w:id="200"/>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00" w:type="dxa"/>
            <w:vAlign w:val="bottom"/>
            <w:gridSpan w:val="26"/>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8"/>
              </w:rPr>
              <w:t>4(c)(11)</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60" w:type="dxa"/>
            <w:vAlign w:val="bottom"/>
            <w:gridSpan w:val="27"/>
          </w:tcPr>
          <w:p>
            <w:pPr>
              <w:spacing w:after="0" w:line="137" w:lineRule="exact"/>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Officer’s Certificate, dated as of March 17,</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2014, setting forth the form, terms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provisions of the Twenty-Third Series</w:t>
              </w:r>
            </w:hyperlink>
          </w:p>
        </w:tc>
        <w:tc>
          <w:tcPr>
            <w:tcW w:w="20" w:type="dxa"/>
            <w:vAlign w:val="bottom"/>
          </w:tcPr>
          <w:p>
            <w:pPr>
              <w:spacing w:after="0"/>
              <w:rPr>
                <w:sz w:val="9"/>
                <w:szCs w:val="9"/>
                <w:color w:val="auto"/>
              </w:rPr>
            </w:pPr>
          </w:p>
        </w:tc>
        <w:tc>
          <w:tcPr>
            <w:tcW w:w="580" w:type="dxa"/>
            <w:vAlign w:val="bottom"/>
            <w:gridSpan w:val="19"/>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General Mortgage Bonds</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4(c)(12)</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0">
              <w:r>
                <w:rPr>
                  <w:rFonts w:ascii="Times New Roman" w:cs="Times New Roman" w:eastAsia="Times New Roman" w:hAnsi="Times New Roman"/>
                  <w:sz w:val="13"/>
                  <w:szCs w:val="13"/>
                  <w:color w:val="0000FF"/>
                </w:rPr>
                <w:t>Twenty-Fifth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50">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August 11, 2016</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4(c)(13)</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1">
              <w:r>
                <w:rPr>
                  <w:rFonts w:ascii="Times New Roman" w:cs="Times New Roman" w:eastAsia="Times New Roman" w:hAnsi="Times New Roman"/>
                  <w:sz w:val="13"/>
                  <w:szCs w:val="13"/>
                  <w:color w:val="0000FF"/>
                </w:rPr>
                <w:t>Officer’s Certificate, dated as of August 11,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2016, setting forth the form, terms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provisions of the Twenty-Sixth Series</w:t>
              </w:r>
            </w:hyperlink>
          </w:p>
        </w:tc>
        <w:tc>
          <w:tcPr>
            <w:tcW w:w="580" w:type="dxa"/>
            <w:vAlign w:val="bottom"/>
            <w:gridSpan w:val="19"/>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of General</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Mortgage Bonds</w:t>
              </w:r>
            </w:hyperlink>
          </w:p>
        </w:tc>
        <w:tc>
          <w:tcPr>
            <w:tcW w:w="1660" w:type="dxa"/>
            <w:vAlign w:val="bottom"/>
            <w:tcBorders>
              <w:top w:val="single" w:sz="8" w:color="0000FF"/>
            </w:tcBorders>
            <w:gridSpan w:val="2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4(c)(14)</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2">
              <w:r>
                <w:rPr>
                  <w:rFonts w:ascii="Times New Roman" w:cs="Times New Roman" w:eastAsia="Times New Roman" w:hAnsi="Times New Roman"/>
                  <w:sz w:val="13"/>
                  <w:szCs w:val="13"/>
                  <w:color w:val="0000FF"/>
                </w:rPr>
                <w:t>Twenty-Sixth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52">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January 12, 2017</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4(c)(15)</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3">
              <w:r>
                <w:rPr>
                  <w:rFonts w:ascii="Times New Roman" w:cs="Times New Roman" w:eastAsia="Times New Roman" w:hAnsi="Times New Roman"/>
                  <w:sz w:val="13"/>
                  <w:szCs w:val="13"/>
                  <w:color w:val="0000FF"/>
                </w:rPr>
                <w:t>Officer’s Certificate, dated as of January 12,</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3">
              <w:r>
                <w:rPr>
                  <w:rFonts w:ascii="Times New Roman" w:cs="Times New Roman" w:eastAsia="Times New Roman" w:hAnsi="Times New Roman"/>
                  <w:sz w:val="12"/>
                  <w:szCs w:val="12"/>
                  <w:color w:val="0000FF"/>
                </w:rPr>
                <w:t>2017, setting forth the form, terms and</w:t>
              </w:r>
            </w:hyperlink>
          </w:p>
        </w:tc>
        <w:tc>
          <w:tcPr>
            <w:tcW w:w="300" w:type="dxa"/>
            <w:vAlign w:val="bottom"/>
            <w:tcBorders>
              <w:top w:val="single" w:sz="8" w:color="0000FF"/>
            </w:tcBorders>
            <w:gridSpan w:val="9"/>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27"/>
          </w:tcPr>
          <w:p>
            <w:pPr>
              <w:spacing w:after="0" w:line="107" w:lineRule="exact"/>
              <w:rPr>
                <w:rFonts w:ascii="Times New Roman" w:cs="Times New Roman" w:eastAsia="Times New Roman" w:hAnsi="Times New Roman"/>
                <w:sz w:val="12"/>
                <w:szCs w:val="12"/>
                <w:color w:val="0000FF"/>
              </w:rPr>
            </w:pPr>
            <w:hyperlink r:id="rId253">
              <w:r>
                <w:rPr>
                  <w:rFonts w:ascii="Times New Roman" w:cs="Times New Roman" w:eastAsia="Times New Roman" w:hAnsi="Times New Roman"/>
                  <w:sz w:val="12"/>
                  <w:szCs w:val="12"/>
                  <w:color w:val="0000FF"/>
                </w:rPr>
                <w:t>provisions of the Twenty-Seventh Series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53">
              <w:r>
                <w:rPr>
                  <w:rFonts w:ascii="Times New Roman" w:cs="Times New Roman" w:eastAsia="Times New Roman" w:hAnsi="Times New Roman"/>
                  <w:sz w:val="12"/>
                  <w:szCs w:val="12"/>
                  <w:color w:val="0000FF"/>
                </w:rPr>
                <w:t>General Mortgage Bonds</w:t>
              </w:r>
            </w:hyperlink>
          </w:p>
        </w:tc>
        <w:tc>
          <w:tcPr>
            <w:tcW w:w="4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4(c)(16)</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4">
              <w:r>
                <w:rPr>
                  <w:rFonts w:ascii="Times New Roman" w:cs="Times New Roman" w:eastAsia="Times New Roman" w:hAnsi="Times New Roman"/>
                  <w:sz w:val="13"/>
                  <w:szCs w:val="13"/>
                  <w:color w:val="0000FF"/>
                </w:rPr>
                <w:t>Twenty-Seventh Supplemental Indenture 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bottom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54">
              <w:r>
                <w:rPr>
                  <w:rFonts w:ascii="Times New Roman" w:cs="Times New Roman" w:eastAsia="Times New Roman" w:hAnsi="Times New Roman"/>
                  <w:sz w:val="12"/>
                  <w:szCs w:val="12"/>
                  <w:color w:val="0000FF"/>
                </w:rPr>
                <w:t>Exhibit 4(c)(1) dated as of February 28, 2018</w:t>
              </w:r>
            </w:hyperlink>
          </w:p>
        </w:tc>
        <w:tc>
          <w:tcPr>
            <w:tcW w:w="24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4(c)(17)</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5">
              <w:r>
                <w:rPr>
                  <w:rFonts w:ascii="Times New Roman" w:cs="Times New Roman" w:eastAsia="Times New Roman" w:hAnsi="Times New Roman"/>
                  <w:sz w:val="13"/>
                  <w:szCs w:val="13"/>
                  <w:color w:val="0000FF"/>
                </w:rPr>
                <w:t>Officer’s Certificate, dated as of February 28,</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2018, setting forth the form, terms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provisions of the Twenty-Eighth Series</w:t>
              </w:r>
            </w:hyperlink>
          </w:p>
        </w:tc>
        <w:tc>
          <w:tcPr>
            <w:tcW w:w="580" w:type="dxa"/>
            <w:vAlign w:val="bottom"/>
            <w:gridSpan w:val="19"/>
          </w:tcPr>
          <w:p>
            <w:pPr>
              <w:ind w:left="40"/>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General Mortgage Bonds</w:t>
              </w:r>
            </w:hyperlink>
          </w:p>
        </w:tc>
        <w:tc>
          <w:tcPr>
            <w:tcW w:w="20" w:type="dxa"/>
            <w:vAlign w:val="bottom"/>
          </w:tcPr>
          <w:p>
            <w:pPr>
              <w:spacing w:after="0"/>
              <w:rPr>
                <w:sz w:val="9"/>
                <w:szCs w:val="9"/>
                <w:color w:val="auto"/>
              </w:rPr>
            </w:pPr>
          </w:p>
        </w:tc>
        <w:tc>
          <w:tcPr>
            <w:tcW w:w="100" w:type="dxa"/>
            <w:vAlign w:val="bottom"/>
            <w:gridSpan w:val="4"/>
          </w:tcPr>
          <w:p>
            <w:pPr>
              <w:spacing w:after="0"/>
              <w:rPr>
                <w:sz w:val="9"/>
                <w:szCs w:val="9"/>
                <w:color w:val="auto"/>
              </w:rPr>
            </w:pPr>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4(c)(18)</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6">
              <w:r>
                <w:rPr>
                  <w:rFonts w:ascii="Times New Roman" w:cs="Times New Roman" w:eastAsia="Times New Roman" w:hAnsi="Times New Roman"/>
                  <w:sz w:val="13"/>
                  <w:szCs w:val="13"/>
                  <w:color w:val="0000FF"/>
                </w:rPr>
                <w:t>Twenty-Eighth Supplemental Indenture 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bottom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56">
              <w:r>
                <w:rPr>
                  <w:rFonts w:ascii="Times New Roman" w:cs="Times New Roman" w:eastAsia="Times New Roman" w:hAnsi="Times New Roman"/>
                  <w:sz w:val="12"/>
                  <w:szCs w:val="12"/>
                  <w:color w:val="0000FF"/>
                </w:rPr>
                <w:t>Exhibit 4(c)(1) dated as of January 15, 2019</w:t>
              </w:r>
            </w:hyperlink>
          </w:p>
        </w:tc>
        <w:tc>
          <w:tcPr>
            <w:tcW w:w="30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4(c)(19)</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7">
              <w:r>
                <w:rPr>
                  <w:rFonts w:ascii="Times New Roman" w:cs="Times New Roman" w:eastAsia="Times New Roman" w:hAnsi="Times New Roman"/>
                  <w:sz w:val="13"/>
                  <w:szCs w:val="13"/>
                  <w:color w:val="0000FF"/>
                </w:rPr>
                <w:t>Officer’s Certificate, dated as of January 15,</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2019, setting forth the form, terms and</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provisions of the Twenty-Ninth Series</w:t>
              </w:r>
            </w:hyperlink>
          </w:p>
        </w:tc>
        <w:tc>
          <w:tcPr>
            <w:tcW w:w="600" w:type="dxa"/>
            <w:vAlign w:val="bottom"/>
            <w:gridSpan w:val="20"/>
          </w:tcPr>
          <w:p>
            <w:pPr>
              <w:ind w:left="20"/>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General Mortgage Bonds</w:t>
              </w:r>
            </w:hyperlink>
          </w:p>
        </w:tc>
        <w:tc>
          <w:tcPr>
            <w:tcW w:w="24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4(c)(20)</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8">
              <w:r>
                <w:rPr>
                  <w:rFonts w:ascii="Times New Roman" w:cs="Times New Roman" w:eastAsia="Times New Roman" w:hAnsi="Times New Roman"/>
                  <w:sz w:val="13"/>
                  <w:szCs w:val="13"/>
                  <w:color w:val="0000FF"/>
                </w:rPr>
                <w:t>Twenty-Ninth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58">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June 5, 2020</w:t>
              </w:r>
            </w:hyperlink>
          </w:p>
        </w:tc>
        <w:tc>
          <w:tcPr>
            <w:tcW w:w="92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3"/>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4(c)(21)</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9">
              <w:r>
                <w:rPr>
                  <w:rFonts w:ascii="Times New Roman" w:cs="Times New Roman" w:eastAsia="Times New Roman" w:hAnsi="Times New Roman"/>
                  <w:sz w:val="13"/>
                  <w:szCs w:val="13"/>
                  <w:color w:val="0000FF"/>
                </w:rPr>
                <w:t>Officer’s Certificate, dated as of June 5, 2020,</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setting forth the form, terms and provisions of</w:t>
              </w:r>
            </w:hyperlink>
          </w:p>
        </w:tc>
        <w:tc>
          <w:tcPr>
            <w:tcW w:w="2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bottom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the Thirtieth Series of General Mortgage Bonds</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4(c)(22)</w:t>
            </w:r>
          </w:p>
        </w:tc>
        <w:tc>
          <w:tcPr>
            <w:tcW w:w="288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0">
              <w:r>
                <w:rPr>
                  <w:rFonts w:ascii="Times New Roman" w:cs="Times New Roman" w:eastAsia="Times New Roman" w:hAnsi="Times New Roman"/>
                  <w:sz w:val="13"/>
                  <w:szCs w:val="13"/>
                  <w:color w:val="0000FF"/>
                </w:rPr>
                <w:t>Thirtieth Supplemental Indenture to Exhibit 4(c)</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60">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March 11, 2021</w:t>
              </w:r>
            </w:hyperlink>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2014</w:t>
      </w:r>
    </w:p>
    <w:p>
      <w:pPr>
        <w:spacing w:after="0" w:line="13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2016</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2016</w:t>
      </w:r>
    </w:p>
    <w:p>
      <w:pPr>
        <w:spacing w:after="0" w:line="133"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2016</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2016</w:t>
      </w:r>
    </w:p>
    <w:p>
      <w:pPr>
        <w:spacing w:after="0" w:line="133"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2018</w:t>
      </w:r>
    </w:p>
    <w:p>
      <w:pPr>
        <w:spacing w:after="0" w:line="69"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2018</w:t>
      </w:r>
    </w:p>
    <w:p>
      <w:pPr>
        <w:spacing w:after="0" w:line="1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January 10, 2019</w:t>
      </w:r>
    </w:p>
    <w:p>
      <w:pPr>
        <w:spacing w:after="0" w:line="4"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2018</w:t>
      </w:r>
    </w:p>
    <w:p>
      <w:pPr>
        <w:spacing w:after="0" w:line="1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June 2, 2020</w:t>
      </w:r>
    </w:p>
    <w:p>
      <w:pPr>
        <w:spacing w:after="0" w:line="200" w:lineRule="exact"/>
        <w:rPr>
          <w:sz w:val="20"/>
          <w:szCs w:val="20"/>
          <w:color w:val="auto"/>
        </w:rPr>
      </w:pPr>
    </w:p>
    <w:p>
      <w:pPr>
        <w:spacing w:after="0" w:line="37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2020</w:t>
      </w:r>
    </w:p>
    <w:p>
      <w:pPr>
        <w:spacing w:after="0" w:line="6"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March 8,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4(e)(41)</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4(e)(42)</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4.9</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4.10</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4(h)(24)</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0"/>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4.26</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3">
            <w:col w:w="4120" w:space="120"/>
            <w:col w:w="1640" w:space="120"/>
            <w:col w:w="5280"/>
          </w:cols>
          <w:pgMar w:left="300" w:top="747" w:right="31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1" w:name="page202"/>
    <w:bookmarkEnd w:id="201"/>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gridSpan w:val="2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8"/>
              </w:rPr>
              <w:t>4(c)(23)</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60" w:type="dxa"/>
            <w:vAlign w:val="bottom"/>
            <w:gridSpan w:val="25"/>
          </w:tcPr>
          <w:p>
            <w:pPr>
              <w:spacing w:after="0" w:line="137" w:lineRule="exact"/>
              <w:rPr>
                <w:rFonts w:ascii="Times New Roman" w:cs="Times New Roman" w:eastAsia="Times New Roman" w:hAnsi="Times New Roman"/>
                <w:sz w:val="13"/>
                <w:szCs w:val="13"/>
                <w:color w:val="0000FF"/>
                <w:w w:val="98"/>
              </w:rPr>
            </w:pPr>
            <w:hyperlink r:id="rId263">
              <w:r>
                <w:rPr>
                  <w:rFonts w:ascii="Times New Roman" w:cs="Times New Roman" w:eastAsia="Times New Roman" w:hAnsi="Times New Roman"/>
                  <w:sz w:val="13"/>
                  <w:szCs w:val="13"/>
                  <w:color w:val="0000FF"/>
                  <w:w w:val="98"/>
                </w:rPr>
                <w:t>Officer’s Certificate, dated as of March 11, 2021,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63">
              <w:r>
                <w:rPr>
                  <w:rFonts w:ascii="Times New Roman" w:cs="Times New Roman" w:eastAsia="Times New Roman" w:hAnsi="Times New Roman"/>
                  <w:sz w:val="12"/>
                  <w:szCs w:val="12"/>
                  <w:color w:val="0000FF"/>
                </w:rPr>
                <w:t>setting forth the form, terms and provisions of</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63">
              <w:r>
                <w:rPr>
                  <w:rFonts w:ascii="Times New Roman" w:cs="Times New Roman" w:eastAsia="Times New Roman" w:hAnsi="Times New Roman"/>
                  <w:sz w:val="12"/>
                  <w:szCs w:val="12"/>
                  <w:color w:val="0000FF"/>
                </w:rPr>
                <w:t>the Thirty-First and Thirty-Second Series of</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63">
              <w:r>
                <w:rPr>
                  <w:rFonts w:ascii="Times New Roman" w:cs="Times New Roman" w:eastAsia="Times New Roman" w:hAnsi="Times New Roman"/>
                  <w:sz w:val="12"/>
                  <w:szCs w:val="12"/>
                  <w:color w:val="0000FF"/>
                </w:rPr>
                <w:t>General Mortgage Bonds</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4(c)(24)</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4">
              <w:r>
                <w:rPr>
                  <w:rFonts w:ascii="Times New Roman" w:cs="Times New Roman" w:eastAsia="Times New Roman" w:hAnsi="Times New Roman"/>
                  <w:sz w:val="13"/>
                  <w:szCs w:val="13"/>
                  <w:color w:val="0000FF"/>
                </w:rPr>
                <w:t>Thirty-First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February 28, 2022</w:t>
              </w:r>
            </w:hyperlink>
          </w:p>
        </w:tc>
        <w:tc>
          <w:tcPr>
            <w:tcW w:w="44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4(c)(25)</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5">
              <w:r>
                <w:rPr>
                  <w:rFonts w:ascii="Times New Roman" w:cs="Times New Roman" w:eastAsia="Times New Roman" w:hAnsi="Times New Roman"/>
                  <w:sz w:val="13"/>
                  <w:szCs w:val="13"/>
                  <w:color w:val="0000FF"/>
                </w:rPr>
                <w:t>Officer’s Certificate, dated as of February 28,</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2022, setting forth the form, terms and</w:t>
              </w:r>
            </w:hyperlink>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25"/>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provisions of the Thirty-Third and Thirty-Fourth</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Series of General Mortgage Bonds</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4(c)(26)</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6">
              <w:r>
                <w:rPr>
                  <w:rFonts w:ascii="Times New Roman" w:cs="Times New Roman" w:eastAsia="Times New Roman" w:hAnsi="Times New Roman"/>
                  <w:sz w:val="13"/>
                  <w:szCs w:val="13"/>
                  <w:color w:val="0000FF"/>
                </w:rPr>
                <w:t>Thirty-Second Supplemental Indenture to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Exhibit 4(c)(1), dated as of September 15,</w:t>
              </w:r>
            </w:hyperlink>
          </w:p>
        </w:tc>
        <w:tc>
          <w:tcPr>
            <w:tcW w:w="340" w:type="dxa"/>
            <w:vAlign w:val="bottom"/>
            <w:tcBorders>
              <w:bottom w:val="single" w:sz="8" w:color="0000FF"/>
            </w:tcBorders>
            <w:gridSpan w:val="12"/>
          </w:tcPr>
          <w:p>
            <w:pPr>
              <w:jc w:val="center"/>
              <w:ind w:right="20"/>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2022</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4(c)(27)</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7">
              <w:r>
                <w:rPr>
                  <w:rFonts w:ascii="Times New Roman" w:cs="Times New Roman" w:eastAsia="Times New Roman" w:hAnsi="Times New Roman"/>
                  <w:sz w:val="13"/>
                  <w:szCs w:val="13"/>
                  <w:color w:val="0000FF"/>
                </w:rPr>
                <w:t>Officer’s Certificate, dated September 15, 2022,</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setting forth the form, terms and provisions of</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the Thirty-Fifth and Thirty-Sixth Series of</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General Mortgage Bonds</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4(c)(28)</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8">
              <w:r>
                <w:rPr>
                  <w:rFonts w:ascii="Times New Roman" w:cs="Times New Roman" w:eastAsia="Times New Roman" w:hAnsi="Times New Roman"/>
                  <w:sz w:val="13"/>
                  <w:szCs w:val="13"/>
                  <w:color w:val="0000FF"/>
                </w:rPr>
                <w:t>Thirty-Third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68">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March 23, 2023</w:t>
              </w:r>
            </w:hyperlink>
          </w:p>
        </w:tc>
        <w:tc>
          <w:tcPr>
            <w:tcW w:w="640" w:type="dxa"/>
            <w:vAlign w:val="bottom"/>
            <w:tcBorders>
              <w:top w:val="single" w:sz="8" w:color="0000FF"/>
            </w:tcBorders>
            <w:gridSpan w:val="15"/>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4(c)(29)</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9">
              <w:r>
                <w:rPr>
                  <w:rFonts w:ascii="Times New Roman" w:cs="Times New Roman" w:eastAsia="Times New Roman" w:hAnsi="Times New Roman"/>
                  <w:sz w:val="13"/>
                  <w:szCs w:val="13"/>
                  <w:color w:val="0000FF"/>
                </w:rPr>
                <w:t>Officer’s Certificate, dated March 23, 2023,</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setting forth the form, terms and provisions</w:t>
              </w:r>
            </w:hyperlink>
          </w:p>
        </w:tc>
        <w:tc>
          <w:tcPr>
            <w:tcW w:w="320" w:type="dxa"/>
            <w:vAlign w:val="bottom"/>
            <w:gridSpan w:val="14"/>
          </w:tcPr>
          <w:p>
            <w:pPr>
              <w:jc w:val="center"/>
              <w:ind w:right="220"/>
              <w:spacing w:after="0" w:line="107" w:lineRule="exact"/>
              <w:rPr>
                <w:rFonts w:ascii="Times New Roman" w:cs="Times New Roman" w:eastAsia="Times New Roman" w:hAnsi="Times New Roman"/>
                <w:sz w:val="12"/>
                <w:szCs w:val="12"/>
                <w:color w:val="0000FF"/>
                <w:w w:val="99"/>
              </w:rPr>
            </w:pPr>
            <w:hyperlink r:id="rId269">
              <w:r>
                <w:rPr>
                  <w:rFonts w:ascii="Times New Roman" w:cs="Times New Roman" w:eastAsia="Times New Roman" w:hAnsi="Times New Roman"/>
                  <w:sz w:val="12"/>
                  <w:szCs w:val="12"/>
                  <w:color w:val="0000FF"/>
                  <w:w w:val="99"/>
                </w:rPr>
                <w:t>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25"/>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the Thirty-Seventh and Thirty-Eighth Series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General Mortgage Bonds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4(c)(30)</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0">
              <w:r>
                <w:rPr>
                  <w:rFonts w:ascii="Times New Roman" w:cs="Times New Roman" w:eastAsia="Times New Roman" w:hAnsi="Times New Roman"/>
                  <w:sz w:val="13"/>
                  <w:szCs w:val="13"/>
                  <w:color w:val="0000FF"/>
                </w:rPr>
                <w:t>Thirty-Fourth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70">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September 18, 2023</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4(c)(31)</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1">
              <w:r>
                <w:rPr>
                  <w:rFonts w:ascii="Times New Roman" w:cs="Times New Roman" w:eastAsia="Times New Roman" w:hAnsi="Times New Roman"/>
                  <w:sz w:val="13"/>
                  <w:szCs w:val="13"/>
                  <w:color w:val="0000FF"/>
                </w:rPr>
                <w:t>Officer’s Certificate, dated September 18, 2023,</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setting forth the form, terms and provisions of</w:t>
              </w:r>
            </w:hyperlink>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the Thirty-Ninth Series of General Mortgage</w:t>
              </w:r>
            </w:hyperlink>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Bonds</w:t>
              </w:r>
            </w:hyperlink>
          </w:p>
        </w:tc>
        <w:tc>
          <w:tcPr>
            <w:tcW w:w="14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4(c)(32)</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2">
              <w:r>
                <w:rPr>
                  <w:rFonts w:ascii="Times New Roman" w:cs="Times New Roman" w:eastAsia="Times New Roman" w:hAnsi="Times New Roman"/>
                  <w:sz w:val="13"/>
                  <w:szCs w:val="13"/>
                  <w:color w:val="0000FF"/>
                </w:rPr>
                <w:t>Thirty-Fifth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72">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February 29, 2024</w:t>
              </w:r>
            </w:hyperlink>
          </w:p>
        </w:tc>
        <w:tc>
          <w:tcPr>
            <w:tcW w:w="48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4(c)(33)</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3">
              <w:r>
                <w:rPr>
                  <w:rFonts w:ascii="Times New Roman" w:cs="Times New Roman" w:eastAsia="Times New Roman" w:hAnsi="Times New Roman"/>
                  <w:sz w:val="13"/>
                  <w:szCs w:val="13"/>
                  <w:color w:val="0000FF"/>
                </w:rPr>
                <w:t>Officer’s Certificate, dated as of February 29,</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2024, setting forth the form, terms and</w:t>
              </w:r>
            </w:hyperlink>
          </w:p>
        </w:tc>
        <w:tc>
          <w:tcPr>
            <w:tcW w:w="120" w:type="dxa"/>
            <w:vAlign w:val="bottom"/>
            <w:gridSpan w:val="5"/>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25"/>
          </w:tcPr>
          <w:p>
            <w:pPr>
              <w:spacing w:after="0" w:line="107"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provisions of the Fortieth Series of General</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Mortgage Bonds</w:t>
              </w:r>
            </w:hyperlink>
          </w:p>
        </w:tc>
        <w:tc>
          <w:tcPr>
            <w:tcW w:w="1340" w:type="dxa"/>
            <w:vAlign w:val="bottom"/>
            <w:tcBorders>
              <w:top w:val="single" w:sz="8" w:color="0000FF"/>
            </w:tcBorders>
            <w:gridSpan w:val="8"/>
          </w:tcPr>
          <w:p>
            <w:pPr>
              <w:spacing w:after="0"/>
              <w:rPr>
                <w:sz w:val="9"/>
                <w:szCs w:val="9"/>
                <w:color w:val="auto"/>
              </w:rPr>
            </w:pPr>
          </w:p>
        </w:tc>
        <w:tc>
          <w:tcPr>
            <w:tcW w:w="240" w:type="dxa"/>
            <w:vAlign w:val="bottom"/>
            <w:gridSpan w:val="9"/>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4(c)(34)</w:t>
            </w:r>
          </w:p>
        </w:tc>
        <w:tc>
          <w:tcPr>
            <w:tcW w:w="288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4">
              <w:r>
                <w:rPr>
                  <w:rFonts w:ascii="Times New Roman" w:cs="Times New Roman" w:eastAsia="Times New Roman" w:hAnsi="Times New Roman"/>
                  <w:sz w:val="13"/>
                  <w:szCs w:val="13"/>
                  <w:color w:val="0000FF"/>
                </w:rPr>
                <w:t>Thirty-Sixth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74">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November 4, 2024</w:t>
              </w:r>
            </w:hyperlink>
          </w:p>
        </w:tc>
        <w:tc>
          <w:tcPr>
            <w:tcW w:w="480" w:type="dxa"/>
            <w:vAlign w:val="bottom"/>
            <w:tcBorders>
              <w:top w:val="single" w:sz="8" w:color="0000FF"/>
            </w:tcBorders>
            <w:gridSpan w:val="12"/>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2021</w:t>
      </w:r>
    </w:p>
    <w:p>
      <w:pPr>
        <w:spacing w:after="0" w:line="13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February 23, 2022</w:t>
      </w:r>
    </w:p>
    <w:p>
      <w:pPr>
        <w:spacing w:after="0" w:line="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2022</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2"/>
          <w:szCs w:val="12"/>
          <w:color w:val="auto"/>
        </w:rPr>
        <w:t>Houston Electric’s Form 8-K dated September 12, 2022</w:t>
      </w:r>
    </w:p>
    <w:p>
      <w:pPr>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2022</w:t>
      </w:r>
    </w:p>
    <w:p>
      <w:pPr>
        <w:spacing w:after="0" w:line="13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March 20, 2023</w:t>
      </w:r>
    </w:p>
    <w:p>
      <w:pPr>
        <w:spacing w:after="0" w:line="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2023</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2"/>
          <w:szCs w:val="12"/>
          <w:color w:val="auto"/>
        </w:rPr>
        <w:t>Houston Electric’s Form 8-K dated September 13, 2023</w:t>
      </w:r>
    </w:p>
    <w:p>
      <w:pPr>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2023</w:t>
      </w:r>
    </w:p>
    <w:p>
      <w:pPr>
        <w:spacing w:after="0" w:line="13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February 26, 2024</w:t>
      </w:r>
    </w:p>
    <w:p>
      <w:pPr>
        <w:spacing w:after="0" w:line="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2024</w:t>
      </w:r>
    </w:p>
    <w:p>
      <w:pPr>
        <w:spacing w:after="0" w:line="13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October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4.22</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3">
            <w:col w:w="4120" w:space="120"/>
            <w:col w:w="1620" w:space="140"/>
            <w:col w:w="5280"/>
          </w:cols>
          <w:pgMar w:left="300" w:top="747" w:right="31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2" w:name="page203"/>
    <w:bookmarkEnd w:id="202"/>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6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8"/>
              </w:rPr>
              <w:t>4(c)(35)</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12"/>
          </w:tcPr>
          <w:p>
            <w:pPr>
              <w:spacing w:after="0" w:line="137" w:lineRule="exact"/>
              <w:rPr>
                <w:rFonts w:ascii="Times New Roman" w:cs="Times New Roman" w:eastAsia="Times New Roman" w:hAnsi="Times New Roman"/>
                <w:sz w:val="13"/>
                <w:szCs w:val="13"/>
                <w:color w:val="0000FF"/>
              </w:rPr>
            </w:pPr>
            <w:hyperlink r:id="rId277">
              <w:r>
                <w:rPr>
                  <w:rFonts w:ascii="Times New Roman" w:cs="Times New Roman" w:eastAsia="Times New Roman" w:hAnsi="Times New Roman"/>
                  <w:sz w:val="13"/>
                  <w:szCs w:val="13"/>
                  <w:color w:val="0000FF"/>
                </w:rPr>
                <w:t>Officer’s Certificate, dated as of November 4,</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2024, setting forth the form, terms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provisions of the Forty-First Series of</w:t>
              </w:r>
            </w:hyperlink>
          </w:p>
        </w:tc>
        <w:tc>
          <w:tcPr>
            <w:tcW w:w="560" w:type="dxa"/>
            <w:vAlign w:val="bottom"/>
            <w:gridSpan w:val="8"/>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General</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Mortgage Bonds</w:t>
              </w:r>
            </w:hyperlink>
          </w:p>
        </w:tc>
        <w:tc>
          <w:tcPr>
            <w:tcW w:w="150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4(c)(36)</w:t>
            </w:r>
          </w:p>
        </w:tc>
        <w:tc>
          <w:tcPr>
            <w:tcW w:w="2840" w:type="dxa"/>
            <w:vAlign w:val="bottom"/>
            <w:gridSpan w:val="1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8">
              <w:r>
                <w:rPr>
                  <w:rFonts w:ascii="Times New Roman" w:cs="Times New Roman" w:eastAsia="Times New Roman" w:hAnsi="Times New Roman"/>
                  <w:sz w:val="13"/>
                  <w:szCs w:val="13"/>
                  <w:color w:val="0000FF"/>
                </w:rPr>
                <w:t>Thirty-Seventh Supplemental Indenture 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Exhibit 4(c)(1), dated as of February 27, 2025</w:t>
              </w:r>
            </w:hyperlink>
          </w:p>
        </w:tc>
        <w:tc>
          <w:tcPr>
            <w:tcW w:w="16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4(c)(37)</w:t>
            </w:r>
          </w:p>
        </w:tc>
        <w:tc>
          <w:tcPr>
            <w:tcW w:w="2840" w:type="dxa"/>
            <w:vAlign w:val="bottom"/>
            <w:gridSpan w:val="1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9">
              <w:r>
                <w:rPr>
                  <w:rFonts w:ascii="Times New Roman" w:cs="Times New Roman" w:eastAsia="Times New Roman" w:hAnsi="Times New Roman"/>
                  <w:sz w:val="13"/>
                  <w:szCs w:val="13"/>
                  <w:color w:val="0000FF"/>
                </w:rPr>
                <w:t>Officer’s Certificate, dated as of February 27,</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279">
              <w:r>
                <w:rPr>
                  <w:rFonts w:ascii="Times New Roman" w:cs="Times New Roman" w:eastAsia="Times New Roman" w:hAnsi="Times New Roman"/>
                  <w:sz w:val="12"/>
                  <w:szCs w:val="12"/>
                  <w:color w:val="0000FF"/>
                  <w:w w:val="99"/>
                </w:rPr>
                <w:t>2025</w:t>
              </w:r>
            </w:hyperlink>
          </w:p>
        </w:tc>
        <w:tc>
          <w:tcPr>
            <w:tcW w:w="600" w:type="dxa"/>
            <w:vAlign w:val="bottom"/>
            <w:tcBorders>
              <w:top w:val="single" w:sz="8" w:color="0000FF"/>
            </w:tcBorders>
          </w:tcPr>
          <w:p>
            <w:pPr>
              <w:spacing w:after="0"/>
              <w:rPr>
                <w:sz w:val="9"/>
                <w:szCs w:val="9"/>
                <w:color w:val="auto"/>
              </w:rPr>
            </w:pPr>
          </w:p>
        </w:tc>
        <w:tc>
          <w:tcPr>
            <w:tcW w:w="9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4(c)(38)</w:t>
            </w:r>
          </w:p>
        </w:tc>
        <w:tc>
          <w:tcPr>
            <w:tcW w:w="2840" w:type="dxa"/>
            <w:vAlign w:val="bottom"/>
            <w:gridSpan w:val="1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80">
              <w:r>
                <w:rPr>
                  <w:rFonts w:ascii="Times New Roman" w:cs="Times New Roman" w:eastAsia="Times New Roman" w:hAnsi="Times New Roman"/>
                  <w:sz w:val="13"/>
                  <w:szCs w:val="13"/>
                  <w:color w:val="0000FF"/>
                </w:rPr>
                <w:t>Thirty-Eighth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80">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August 7, 2025</w:t>
              </w:r>
            </w:hyperlink>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4(c)(39)</w:t>
            </w:r>
          </w:p>
        </w:tc>
        <w:tc>
          <w:tcPr>
            <w:tcW w:w="2840" w:type="dxa"/>
            <w:vAlign w:val="bottom"/>
            <w:gridSpan w:val="1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81">
              <w:r>
                <w:rPr>
                  <w:rFonts w:ascii="Times New Roman" w:cs="Times New Roman" w:eastAsia="Times New Roman" w:hAnsi="Times New Roman"/>
                  <w:sz w:val="13"/>
                  <w:szCs w:val="13"/>
                  <w:color w:val="0000FF"/>
                </w:rPr>
                <w:t>Officer’s Certificate, dated as of August 7, 2025</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38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4(d)(1)</w:t>
            </w:r>
          </w:p>
        </w:tc>
        <w:tc>
          <w:tcPr>
            <w:tcW w:w="2840" w:type="dxa"/>
            <w:vAlign w:val="bottom"/>
            <w:gridSpan w:val="14"/>
          </w:tcPr>
          <w:p>
            <w:pPr>
              <w:ind w:left="20"/>
              <w:spacing w:after="0"/>
              <w:rPr>
                <w:sz w:val="20"/>
                <w:szCs w:val="20"/>
                <w:color w:val="auto"/>
              </w:rPr>
            </w:pPr>
            <w:r>
              <w:rPr>
                <w:rFonts w:ascii="Times New Roman" w:cs="Times New Roman" w:eastAsia="Times New Roman" w:hAnsi="Times New Roman"/>
                <w:sz w:val="13"/>
                <w:szCs w:val="13"/>
                <w:color w:val="auto"/>
              </w:rPr>
              <w:t>—   Indenture, dated as of February 1, 1998, between</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2"/>
          </w:tcPr>
          <w:p>
            <w:pPr>
              <w:spacing w:after="0" w:line="128" w:lineRule="exact"/>
              <w:rPr>
                <w:sz w:val="20"/>
                <w:szCs w:val="20"/>
                <w:color w:val="auto"/>
              </w:rPr>
            </w:pPr>
            <w:r>
              <w:rPr>
                <w:rFonts w:ascii="Times New Roman" w:cs="Times New Roman" w:eastAsia="Times New Roman" w:hAnsi="Times New Roman"/>
                <w:sz w:val="13"/>
                <w:szCs w:val="13"/>
                <w:color w:val="auto"/>
              </w:rPr>
              <w:t>Reliant Energy Resources Corp. (RERC Corp.)</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2"/>
          </w:tcPr>
          <w:p>
            <w:pPr>
              <w:spacing w:after="0" w:line="128" w:lineRule="exact"/>
              <w:rPr>
                <w:sz w:val="20"/>
                <w:szCs w:val="20"/>
                <w:color w:val="auto"/>
              </w:rPr>
            </w:pPr>
            <w:r>
              <w:rPr>
                <w:rFonts w:ascii="Times New Roman" w:cs="Times New Roman" w:eastAsia="Times New Roman" w:hAnsi="Times New Roman"/>
                <w:sz w:val="13"/>
                <w:szCs w:val="13"/>
                <w:color w:val="auto"/>
                <w:w w:val="99"/>
              </w:rPr>
              <w:t>and Chase Bank of Texas, National Association,</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as Trustee</w:t>
            </w:r>
          </w:p>
        </w:tc>
        <w:tc>
          <w:tcPr>
            <w:tcW w:w="0" w:type="dxa"/>
            <w:vAlign w:val="bottom"/>
          </w:tcPr>
          <w:p>
            <w:pPr>
              <w:spacing w:after="0"/>
              <w:rPr>
                <w:sz w:val="1"/>
                <w:szCs w:val="1"/>
                <w:color w:val="auto"/>
              </w:rPr>
            </w:pPr>
          </w:p>
        </w:tc>
      </w:tr>
      <w:tr>
        <w:trPr>
          <w:trHeight w:val="142"/>
        </w:trPr>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7"/>
              </w:rPr>
              <w:t>4(d)(2)</w:t>
            </w:r>
          </w:p>
        </w:tc>
        <w:tc>
          <w:tcPr>
            <w:tcW w:w="2840" w:type="dxa"/>
            <w:vAlign w:val="bottom"/>
            <w:gridSpan w:val="14"/>
          </w:tcPr>
          <w:p>
            <w:pPr>
              <w:ind w:left="2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82">
              <w:r>
                <w:rPr>
                  <w:rFonts w:ascii="Times New Roman" w:cs="Times New Roman" w:eastAsia="Times New Roman" w:hAnsi="Times New Roman"/>
                  <w:sz w:val="13"/>
                  <w:szCs w:val="13"/>
                  <w:color w:val="0000FF"/>
                </w:rPr>
                <w:t>Supplemental Indenture No. 10 to Exhibit 4(d)</w:t>
              </w:r>
            </w:hyperlink>
          </w:p>
        </w:tc>
        <w:tc>
          <w:tcPr>
            <w:tcW w:w="0" w:type="dxa"/>
            <w:vAlign w:val="bottom"/>
          </w:tcPr>
          <w:p>
            <w:pPr>
              <w:spacing w:after="0"/>
              <w:rPr>
                <w:sz w:val="1"/>
                <w:szCs w:val="1"/>
                <w:color w:val="auto"/>
              </w:rPr>
            </w:pPr>
          </w:p>
        </w:tc>
      </w:tr>
      <w:tr>
        <w:trPr>
          <w:trHeight w:val="111"/>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9"/>
          </w:tcPr>
          <w:p>
            <w:pPr>
              <w:spacing w:after="0" w:line="111" w:lineRule="exact"/>
              <w:rPr>
                <w:rFonts w:ascii="Times New Roman" w:cs="Times New Roman" w:eastAsia="Times New Roman" w:hAnsi="Times New Roman"/>
                <w:sz w:val="12"/>
                <w:szCs w:val="12"/>
                <w:u w:val="single" w:color="auto"/>
                <w:color w:val="0000FF"/>
              </w:rPr>
            </w:pPr>
            <w:hyperlink r:id="rId282">
              <w:r>
                <w:rPr>
                  <w:rFonts w:ascii="Times New Roman" w:cs="Times New Roman" w:eastAsia="Times New Roman" w:hAnsi="Times New Roman"/>
                  <w:sz w:val="12"/>
                  <w:szCs w:val="12"/>
                  <w:u w:val="single" w:color="auto"/>
                  <w:color w:val="0000FF"/>
                </w:rPr>
                <w:t>(1), dated as of February 6, 2007, providing for</w:t>
              </w:r>
            </w:hyperlink>
          </w:p>
        </w:tc>
        <w:tc>
          <w:tcPr>
            <w:tcW w:w="1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bl>
    <w:p>
      <w:pPr>
        <w:ind w:left="1600" w:right="280"/>
        <w:spacing w:after="0" w:line="223" w:lineRule="auto"/>
        <w:rPr>
          <w:rFonts w:ascii="Times New Roman" w:cs="Times New Roman" w:eastAsia="Times New Roman" w:hAnsi="Times New Roman"/>
          <w:sz w:val="13"/>
          <w:szCs w:val="13"/>
          <w:u w:val="single" w:color="auto"/>
          <w:color w:val="0000FF"/>
        </w:rPr>
      </w:pPr>
      <w:hyperlink r:id="rId282">
        <w:r>
          <w:rPr>
            <w:rFonts w:ascii="Times New Roman" w:cs="Times New Roman" w:eastAsia="Times New Roman" w:hAnsi="Times New Roman"/>
            <w:sz w:val="13"/>
            <w:szCs w:val="13"/>
            <w:u w:val="single" w:color="auto"/>
            <w:color w:val="0000FF"/>
          </w:rPr>
          <w:t>the issuance of CERC Corp.’s 6.25% Senior</w:t>
        </w:r>
      </w:hyperlink>
      <w:r>
        <w:rPr>
          <w:rFonts w:ascii="Times New Roman" w:cs="Times New Roman" w:eastAsia="Times New Roman" w:hAnsi="Times New Roman"/>
          <w:sz w:val="13"/>
          <w:szCs w:val="13"/>
          <w:u w:val="single" w:color="auto"/>
          <w:color w:val="0000FF"/>
        </w:rPr>
        <w:t xml:space="preserve"> </w:t>
      </w:r>
      <w:hyperlink r:id="rId282">
        <w:r>
          <w:rPr>
            <w:rFonts w:ascii="Times New Roman" w:cs="Times New Roman" w:eastAsia="Times New Roman" w:hAnsi="Times New Roman"/>
            <w:sz w:val="13"/>
            <w:szCs w:val="13"/>
            <w:u w:val="single" w:color="auto"/>
            <w:color w:val="0000FF"/>
          </w:rPr>
          <w:t>Notes due 2037</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4(d)(3)</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3">
        <w:r>
          <w:rPr>
            <w:rFonts w:ascii="Times New Roman" w:cs="Times New Roman" w:eastAsia="Times New Roman" w:hAnsi="Times New Roman"/>
            <w:sz w:val="12"/>
            <w:szCs w:val="12"/>
            <w:u w:val="single" w:color="auto"/>
            <w:color w:val="0000FF"/>
          </w:rPr>
          <w:t>Supplemental Indenture No. 12 to Exhibit 4(d)</w:t>
        </w:r>
      </w:hyperlink>
    </w:p>
    <w:p>
      <w:pPr>
        <w:ind w:left="1600" w:right="120"/>
        <w:spacing w:after="0" w:line="217" w:lineRule="auto"/>
        <w:tabs>
          <w:tab w:leader="none" w:pos="1780" w:val="left"/>
        </w:tabs>
        <w:numPr>
          <w:ilvl w:val="0"/>
          <w:numId w:val="109"/>
        </w:numPr>
        <w:rPr>
          <w:rFonts w:ascii="Times New Roman" w:cs="Times New Roman" w:eastAsia="Times New Roman" w:hAnsi="Times New Roman"/>
          <w:sz w:val="13"/>
          <w:szCs w:val="13"/>
          <w:u w:val="single" w:color="auto"/>
          <w:color w:val="0000FF"/>
        </w:rPr>
      </w:pPr>
      <w:hyperlink r:id="rId283">
        <w:r>
          <w:rPr>
            <w:rFonts w:ascii="Times New Roman" w:cs="Times New Roman" w:eastAsia="Times New Roman" w:hAnsi="Times New Roman"/>
            <w:sz w:val="13"/>
            <w:szCs w:val="13"/>
            <w:u w:val="single" w:color="auto"/>
            <w:color w:val="0000FF"/>
          </w:rPr>
          <w:t>dated as of October 23, 2007, providing for</w:t>
        </w:r>
      </w:hyperlink>
      <w:r>
        <w:rPr>
          <w:rFonts w:ascii="Times New Roman" w:cs="Times New Roman" w:eastAsia="Times New Roman" w:hAnsi="Times New Roman"/>
          <w:sz w:val="13"/>
          <w:szCs w:val="13"/>
          <w:u w:val="single" w:color="auto"/>
          <w:color w:val="0000FF"/>
        </w:rPr>
        <w:t xml:space="preserve"> </w:t>
      </w:r>
      <w:hyperlink r:id="rId283">
        <w:r>
          <w:rPr>
            <w:rFonts w:ascii="Times New Roman" w:cs="Times New Roman" w:eastAsia="Times New Roman" w:hAnsi="Times New Roman"/>
            <w:sz w:val="13"/>
            <w:szCs w:val="13"/>
            <w:u w:val="single" w:color="auto"/>
            <w:color w:val="0000FF"/>
          </w:rPr>
          <w:t>the issuance of CERC Corp.’s 6.625% Senior</w:t>
        </w:r>
      </w:hyperlink>
      <w:r>
        <w:rPr>
          <w:rFonts w:ascii="Times New Roman" w:cs="Times New Roman" w:eastAsia="Times New Roman" w:hAnsi="Times New Roman"/>
          <w:sz w:val="13"/>
          <w:szCs w:val="13"/>
          <w:u w:val="single" w:color="auto"/>
          <w:color w:val="0000FF"/>
        </w:rPr>
        <w:t xml:space="preserve"> </w:t>
      </w:r>
      <w:hyperlink r:id="rId283">
        <w:r>
          <w:rPr>
            <w:rFonts w:ascii="Times New Roman" w:cs="Times New Roman" w:eastAsia="Times New Roman" w:hAnsi="Times New Roman"/>
            <w:sz w:val="13"/>
            <w:szCs w:val="13"/>
            <w:u w:val="single" w:color="auto"/>
            <w:color w:val="0000FF"/>
          </w:rPr>
          <w:t>Notes due 2037</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4(d)(4)</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4">
        <w:r>
          <w:rPr>
            <w:rFonts w:ascii="Times New Roman" w:cs="Times New Roman" w:eastAsia="Times New Roman" w:hAnsi="Times New Roman"/>
            <w:sz w:val="12"/>
            <w:szCs w:val="12"/>
            <w:u w:val="single" w:color="auto"/>
            <w:color w:val="0000FF"/>
          </w:rPr>
          <w:t>Supplemental Indenture No. 14 to Exhibit 4(d)</w:t>
        </w:r>
      </w:hyperlink>
    </w:p>
    <w:p>
      <w:pPr>
        <w:ind w:left="1600" w:right="160"/>
        <w:spacing w:after="0" w:line="214" w:lineRule="auto"/>
        <w:tabs>
          <w:tab w:leader="none" w:pos="1780" w:val="left"/>
        </w:tabs>
        <w:numPr>
          <w:ilvl w:val="0"/>
          <w:numId w:val="110"/>
        </w:numPr>
        <w:rPr>
          <w:rFonts w:ascii="Times New Roman" w:cs="Times New Roman" w:eastAsia="Times New Roman" w:hAnsi="Times New Roman"/>
          <w:sz w:val="13"/>
          <w:szCs w:val="13"/>
          <w:u w:val="single" w:color="auto"/>
          <w:color w:val="0000FF"/>
        </w:rPr>
      </w:pPr>
      <w:hyperlink r:id="rId284">
        <w:r>
          <w:rPr>
            <w:rFonts w:ascii="Times New Roman" w:cs="Times New Roman" w:eastAsia="Times New Roman" w:hAnsi="Times New Roman"/>
            <w:sz w:val="13"/>
            <w:szCs w:val="13"/>
            <w:u w:val="single" w:color="auto"/>
            <w:color w:val="0000FF"/>
          </w:rPr>
          <w:t>dated as of January 11, 2011, providing for</w:t>
        </w:r>
      </w:hyperlink>
      <w:r>
        <w:rPr>
          <w:rFonts w:ascii="Times New Roman" w:cs="Times New Roman" w:eastAsia="Times New Roman" w:hAnsi="Times New Roman"/>
          <w:sz w:val="13"/>
          <w:szCs w:val="13"/>
          <w:u w:val="single" w:color="auto"/>
          <w:color w:val="0000FF"/>
        </w:rPr>
        <w:t xml:space="preserve"> </w:t>
      </w:r>
      <w:hyperlink r:id="rId284">
        <w:r>
          <w:rPr>
            <w:rFonts w:ascii="Times New Roman" w:cs="Times New Roman" w:eastAsia="Times New Roman" w:hAnsi="Times New Roman"/>
            <w:sz w:val="13"/>
            <w:szCs w:val="13"/>
            <w:u w:val="single" w:color="auto"/>
            <w:color w:val="0000FF"/>
          </w:rPr>
          <w:t>the issuance of CERC Corp.’s 4.50% Senior</w:t>
        </w:r>
      </w:hyperlink>
      <w:r>
        <w:rPr>
          <w:rFonts w:ascii="Times New Roman" w:cs="Times New Roman" w:eastAsia="Times New Roman" w:hAnsi="Times New Roman"/>
          <w:sz w:val="13"/>
          <w:szCs w:val="13"/>
          <w:u w:val="single" w:color="auto"/>
          <w:color w:val="0000FF"/>
        </w:rPr>
        <w:t xml:space="preserve"> </w:t>
      </w:r>
      <w:hyperlink r:id="rId284">
        <w:r>
          <w:rPr>
            <w:rFonts w:ascii="Times New Roman" w:cs="Times New Roman" w:eastAsia="Times New Roman" w:hAnsi="Times New Roman"/>
            <w:sz w:val="13"/>
            <w:szCs w:val="13"/>
            <w:u w:val="single" w:color="auto"/>
            <w:color w:val="0000FF"/>
          </w:rPr>
          <w:t>Notes due 2021 and 5.85% Senior Notes due</w:t>
        </w:r>
      </w:hyperlink>
      <w:r>
        <w:rPr>
          <w:rFonts w:ascii="Times New Roman" w:cs="Times New Roman" w:eastAsia="Times New Roman" w:hAnsi="Times New Roman"/>
          <w:sz w:val="13"/>
          <w:szCs w:val="13"/>
          <w:u w:val="single" w:color="auto"/>
          <w:color w:val="0000FF"/>
        </w:rPr>
        <w:t xml:space="preserve"> </w:t>
      </w:r>
      <w:hyperlink r:id="rId284">
        <w:r>
          <w:rPr>
            <w:rFonts w:ascii="Times New Roman" w:cs="Times New Roman" w:eastAsia="Times New Roman" w:hAnsi="Times New Roman"/>
            <w:sz w:val="13"/>
            <w:szCs w:val="13"/>
            <w:u w:val="single" w:color="auto"/>
            <w:color w:val="0000FF"/>
          </w:rPr>
          <w:t>2041</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4(d)(5)</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5">
        <w:r>
          <w:rPr>
            <w:rFonts w:ascii="Times New Roman" w:cs="Times New Roman" w:eastAsia="Times New Roman" w:hAnsi="Times New Roman"/>
            <w:sz w:val="12"/>
            <w:szCs w:val="12"/>
            <w:u w:val="single" w:color="auto"/>
            <w:color w:val="0000FF"/>
          </w:rPr>
          <w:t>Supplemental Indenture No. 16 to Exhibit 4(d)</w:t>
        </w:r>
      </w:hyperlink>
    </w:p>
    <w:p>
      <w:pPr>
        <w:ind w:left="1600" w:right="180"/>
        <w:spacing w:after="0" w:line="217" w:lineRule="auto"/>
        <w:tabs>
          <w:tab w:leader="none" w:pos="1780" w:val="left"/>
        </w:tabs>
        <w:numPr>
          <w:ilvl w:val="0"/>
          <w:numId w:val="111"/>
        </w:numPr>
        <w:rPr>
          <w:rFonts w:ascii="Times New Roman" w:cs="Times New Roman" w:eastAsia="Times New Roman" w:hAnsi="Times New Roman"/>
          <w:sz w:val="13"/>
          <w:szCs w:val="13"/>
          <w:u w:val="single" w:color="auto"/>
          <w:color w:val="0000FF"/>
        </w:rPr>
      </w:pPr>
      <w:hyperlink r:id="rId285">
        <w:r>
          <w:rPr>
            <w:rFonts w:ascii="Times New Roman" w:cs="Times New Roman" w:eastAsia="Times New Roman" w:hAnsi="Times New Roman"/>
            <w:sz w:val="13"/>
            <w:szCs w:val="13"/>
            <w:u w:val="single" w:color="auto"/>
            <w:color w:val="0000FF"/>
          </w:rPr>
          <w:t>dated as of August 23, 2017, providing for</w:t>
        </w:r>
      </w:hyperlink>
      <w:r>
        <w:rPr>
          <w:rFonts w:ascii="Times New Roman" w:cs="Times New Roman" w:eastAsia="Times New Roman" w:hAnsi="Times New Roman"/>
          <w:sz w:val="13"/>
          <w:szCs w:val="13"/>
          <w:u w:val="single" w:color="auto"/>
          <w:color w:val="0000FF"/>
        </w:rPr>
        <w:t xml:space="preserve"> </w:t>
      </w:r>
      <w:hyperlink r:id="rId285">
        <w:r>
          <w:rPr>
            <w:rFonts w:ascii="Times New Roman" w:cs="Times New Roman" w:eastAsia="Times New Roman" w:hAnsi="Times New Roman"/>
            <w:sz w:val="13"/>
            <w:szCs w:val="13"/>
            <w:u w:val="single" w:color="auto"/>
            <w:color w:val="0000FF"/>
          </w:rPr>
          <w:t>the issuance of CERC Corp.’s 4.10% Senior</w:t>
        </w:r>
      </w:hyperlink>
      <w:r>
        <w:rPr>
          <w:rFonts w:ascii="Times New Roman" w:cs="Times New Roman" w:eastAsia="Times New Roman" w:hAnsi="Times New Roman"/>
          <w:sz w:val="13"/>
          <w:szCs w:val="13"/>
          <w:u w:val="single" w:color="auto"/>
          <w:color w:val="0000FF"/>
        </w:rPr>
        <w:t xml:space="preserve"> </w:t>
      </w:r>
      <w:hyperlink r:id="rId285">
        <w:r>
          <w:rPr>
            <w:rFonts w:ascii="Times New Roman" w:cs="Times New Roman" w:eastAsia="Times New Roman" w:hAnsi="Times New Roman"/>
            <w:sz w:val="13"/>
            <w:szCs w:val="13"/>
            <w:u w:val="single" w:color="auto"/>
            <w:color w:val="0000FF"/>
          </w:rPr>
          <w:t>Notes due 2047</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4(d)(6)</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6">
        <w:r>
          <w:rPr>
            <w:rFonts w:ascii="Times New Roman" w:cs="Times New Roman" w:eastAsia="Times New Roman" w:hAnsi="Times New Roman"/>
            <w:sz w:val="12"/>
            <w:szCs w:val="12"/>
            <w:u w:val="single" w:color="auto"/>
            <w:color w:val="0000FF"/>
          </w:rPr>
          <w:t>Supplemental Indenture No. 17 to Exhibit 4(d)</w:t>
        </w:r>
      </w:hyperlink>
    </w:p>
    <w:p>
      <w:pPr>
        <w:ind w:left="1600" w:right="20"/>
        <w:spacing w:after="0" w:line="235" w:lineRule="auto"/>
        <w:tabs>
          <w:tab w:leader="none" w:pos="1780" w:val="left"/>
        </w:tabs>
        <w:numPr>
          <w:ilvl w:val="0"/>
          <w:numId w:val="112"/>
        </w:numPr>
        <w:rPr>
          <w:rFonts w:ascii="Times New Roman" w:cs="Times New Roman" w:eastAsia="Times New Roman" w:hAnsi="Times New Roman"/>
          <w:sz w:val="12"/>
          <w:szCs w:val="12"/>
          <w:u w:val="single" w:color="auto"/>
          <w:color w:val="0000FF"/>
        </w:rPr>
      </w:pPr>
      <w:hyperlink r:id="rId286">
        <w:r>
          <w:rPr>
            <w:rFonts w:ascii="Times New Roman" w:cs="Times New Roman" w:eastAsia="Times New Roman" w:hAnsi="Times New Roman"/>
            <w:sz w:val="12"/>
            <w:szCs w:val="12"/>
            <w:u w:val="single" w:color="auto"/>
            <w:color w:val="0000FF"/>
          </w:rPr>
          <w:t>dated as of March 28, 2018, providing for the</w:t>
        </w:r>
      </w:hyperlink>
      <w:r>
        <w:rPr>
          <w:rFonts w:ascii="Times New Roman" w:cs="Times New Roman" w:eastAsia="Times New Roman" w:hAnsi="Times New Roman"/>
          <w:sz w:val="12"/>
          <w:szCs w:val="12"/>
          <w:u w:val="single" w:color="auto"/>
          <w:color w:val="0000FF"/>
        </w:rPr>
        <w:t xml:space="preserve"> </w:t>
      </w:r>
      <w:hyperlink r:id="rId286">
        <w:r>
          <w:rPr>
            <w:rFonts w:ascii="Times New Roman" w:cs="Times New Roman" w:eastAsia="Times New Roman" w:hAnsi="Times New Roman"/>
            <w:sz w:val="12"/>
            <w:szCs w:val="12"/>
            <w:u w:val="single" w:color="auto"/>
            <w:color w:val="0000FF"/>
          </w:rPr>
          <w:t>issuance of CERC Corp.’s 3.55% Senior Notes</w:t>
        </w:r>
      </w:hyperlink>
      <w:r>
        <w:rPr>
          <w:rFonts w:ascii="Times New Roman" w:cs="Times New Roman" w:eastAsia="Times New Roman" w:hAnsi="Times New Roman"/>
          <w:sz w:val="12"/>
          <w:szCs w:val="12"/>
          <w:u w:val="single" w:color="auto"/>
          <w:color w:val="0000FF"/>
        </w:rPr>
        <w:t xml:space="preserve"> </w:t>
      </w:r>
      <w:hyperlink r:id="rId286">
        <w:r>
          <w:rPr>
            <w:rFonts w:ascii="Times New Roman" w:cs="Times New Roman" w:eastAsia="Times New Roman" w:hAnsi="Times New Roman"/>
            <w:sz w:val="12"/>
            <w:szCs w:val="12"/>
            <w:u w:val="single" w:color="auto"/>
            <w:color w:val="0000FF"/>
          </w:rPr>
          <w:t>due 2023 and 4.00% Senior Notes due 2028</w:t>
        </w:r>
      </w:hyperlink>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br w:type="column"/>
      </w:r>
    </w:p>
    <w:p>
      <w:pPr>
        <w:spacing w:after="0" w:line="213" w:lineRule="exact"/>
        <w:rPr>
          <w:rFonts w:ascii="Times New Roman" w:cs="Times New Roman" w:eastAsia="Times New Roman" w:hAnsi="Times New Roman"/>
          <w:sz w:val="12"/>
          <w:szCs w:val="12"/>
          <w:u w:val="single" w:color="auto"/>
          <w:color w:val="0000FF"/>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7">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rFonts w:ascii="Times New Roman" w:cs="Times New Roman" w:eastAsia="Times New Roman" w:hAnsi="Times New Roman"/>
          <w:sz w:val="12"/>
          <w:szCs w:val="12"/>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2024</w:t>
      </w:r>
    </w:p>
    <w:p>
      <w:pPr>
        <w:spacing w:after="0" w:line="133" w:lineRule="exact"/>
        <w:rPr>
          <w:rFonts w:ascii="Times New Roman" w:cs="Times New Roman" w:eastAsia="Times New Roman" w:hAnsi="Times New Roman"/>
          <w:sz w:val="12"/>
          <w:szCs w:val="12"/>
          <w:u w:val="single" w:color="auto"/>
          <w:color w:val="0000FF"/>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February 26, 2025</w:t>
      </w:r>
    </w:p>
    <w:p>
      <w:pPr>
        <w:spacing w:after="0" w:line="4" w:lineRule="exact"/>
        <w:rPr>
          <w:rFonts w:ascii="Times New Roman" w:cs="Times New Roman" w:eastAsia="Times New Roman" w:hAnsi="Times New Roman"/>
          <w:sz w:val="12"/>
          <w:szCs w:val="12"/>
          <w:u w:val="single" w:color="auto"/>
          <w:color w:val="0000FF"/>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2025</w:t>
      </w:r>
    </w:p>
    <w:p>
      <w:pPr>
        <w:spacing w:after="0" w:line="6" w:lineRule="exact"/>
        <w:rPr>
          <w:rFonts w:ascii="Times New Roman" w:cs="Times New Roman" w:eastAsia="Times New Roman" w:hAnsi="Times New Roman"/>
          <w:sz w:val="12"/>
          <w:szCs w:val="12"/>
          <w:u w:val="single" w:color="auto"/>
          <w:color w:val="0000FF"/>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August 5, 2025</w:t>
      </w:r>
    </w:p>
    <w:p>
      <w:pPr>
        <w:spacing w:after="0" w:line="4" w:lineRule="exact"/>
        <w:rPr>
          <w:rFonts w:ascii="Times New Roman" w:cs="Times New Roman" w:eastAsia="Times New Roman" w:hAnsi="Times New Roman"/>
          <w:sz w:val="12"/>
          <w:szCs w:val="12"/>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2025</w:t>
      </w:r>
    </w:p>
    <w:p>
      <w:pPr>
        <w:spacing w:after="0" w:line="6" w:lineRule="exact"/>
        <w:rPr>
          <w:rFonts w:ascii="Times New Roman" w:cs="Times New Roman" w:eastAsia="Times New Roman" w:hAnsi="Times New Roman"/>
          <w:sz w:val="12"/>
          <w:szCs w:val="12"/>
          <w:u w:val="single" w:color="auto"/>
          <w:color w:val="0000FF"/>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CERC Corp.’s Form 8-K dated February 5, 1998</w:t>
      </w:r>
    </w:p>
    <w:p>
      <w:pPr>
        <w:spacing w:after="0" w:line="259" w:lineRule="exact"/>
        <w:rPr>
          <w:rFonts w:ascii="Times New Roman" w:cs="Times New Roman" w:eastAsia="Times New Roman" w:hAnsi="Times New Roman"/>
          <w:sz w:val="12"/>
          <w:szCs w:val="12"/>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2006</w:t>
      </w:r>
    </w:p>
    <w:p>
      <w:pPr>
        <w:spacing w:after="0" w:line="133" w:lineRule="exact"/>
        <w:rPr>
          <w:rFonts w:ascii="Times New Roman" w:cs="Times New Roman" w:eastAsia="Times New Roman" w:hAnsi="Times New Roman"/>
          <w:sz w:val="12"/>
          <w:szCs w:val="12"/>
          <w:u w:val="single" w:color="auto"/>
          <w:color w:val="0000FF"/>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2008</w:t>
      </w:r>
    </w:p>
    <w:p>
      <w:pPr>
        <w:spacing w:after="0" w:line="133" w:lineRule="exact"/>
        <w:rPr>
          <w:rFonts w:ascii="Times New Roman" w:cs="Times New Roman" w:eastAsia="Times New Roman" w:hAnsi="Times New Roman"/>
          <w:sz w:val="12"/>
          <w:szCs w:val="12"/>
          <w:u w:val="single" w:color="auto"/>
          <w:color w:val="0000FF"/>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2010</w:t>
      </w:r>
    </w:p>
    <w:p>
      <w:pPr>
        <w:spacing w:after="0" w:line="260" w:lineRule="exact"/>
        <w:rPr>
          <w:rFonts w:ascii="Times New Roman" w:cs="Times New Roman" w:eastAsia="Times New Roman" w:hAnsi="Times New Roman"/>
          <w:sz w:val="12"/>
          <w:szCs w:val="12"/>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2017</w:t>
      </w:r>
    </w:p>
    <w:p>
      <w:pPr>
        <w:spacing w:after="0" w:line="133" w:lineRule="exact"/>
        <w:rPr>
          <w:rFonts w:ascii="Times New Roman" w:cs="Times New Roman" w:eastAsia="Times New Roman" w:hAnsi="Times New Roman"/>
          <w:sz w:val="12"/>
          <w:szCs w:val="12"/>
          <w:u w:val="single" w:color="auto"/>
          <w:color w:val="0000FF"/>
        </w:rPr>
      </w:pPr>
    </w:p>
    <w:p>
      <w:pPr>
        <w:ind w:right="120"/>
        <w:spacing w:after="0" w:line="269" w:lineRule="auto"/>
        <w:rPr>
          <w:sz w:val="20"/>
          <w:szCs w:val="20"/>
          <w:color w:val="auto"/>
        </w:rPr>
      </w:pPr>
      <w:r>
        <w:rPr>
          <w:rFonts w:ascii="Times New Roman" w:cs="Times New Roman" w:eastAsia="Times New Roman" w:hAnsi="Times New Roman"/>
          <w:sz w:val="12"/>
          <w:szCs w:val="12"/>
          <w:color w:val="auto"/>
        </w:rPr>
        <w:t>CERC’s Form 10-Q for the quarter ended March 31, 2018</w:t>
      </w:r>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4(c)(35)</w:t>
            </w: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4(f)(11)</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4.9</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4(f)(15)</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679"/>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bl>
    <w:p>
      <w:pPr>
        <w:spacing w:after="0" w:line="581" w:lineRule="exact"/>
        <w:rPr>
          <w:rFonts w:ascii="Times New Roman" w:cs="Times New Roman" w:eastAsia="Times New Roman" w:hAnsi="Times New Roman"/>
          <w:sz w:val="12"/>
          <w:szCs w:val="12"/>
          <w:u w:val="single" w:color="auto"/>
          <w:color w:val="0000FF"/>
        </w:rPr>
      </w:pPr>
    </w:p>
    <w:p>
      <w:pPr>
        <w:sectPr>
          <w:pgSz w:w="11900" w:h="16838" w:orient="portrait"/>
          <w:cols w:equalWidth="0" w:num="3">
            <w:col w:w="4120" w:space="120"/>
            <w:col w:w="1640" w:space="120"/>
            <w:col w:w="5280"/>
          </w:cols>
          <w:pgMar w:left="300" w:top="747" w:right="319" w:bottom="1440" w:gutter="0" w:footer="0" w:header="0"/>
        </w:sectPr>
      </w:pPr>
    </w:p>
    <w:p>
      <w:pPr>
        <w:spacing w:after="0" w:line="200" w:lineRule="exact"/>
        <w:rPr>
          <w:rFonts w:ascii="Times New Roman" w:cs="Times New Roman" w:eastAsia="Times New Roman" w:hAnsi="Times New Roman"/>
          <w:sz w:val="12"/>
          <w:szCs w:val="12"/>
          <w:u w:val="single" w:color="auto"/>
          <w:color w:val="0000FF"/>
        </w:rPr>
      </w:pPr>
    </w:p>
    <w:p>
      <w:pPr>
        <w:spacing w:after="0" w:line="291" w:lineRule="exact"/>
        <w:rPr>
          <w:rFonts w:ascii="Times New Roman" w:cs="Times New Roman" w:eastAsia="Times New Roman" w:hAnsi="Times New Roman"/>
          <w:sz w:val="12"/>
          <w:szCs w:val="12"/>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2"/>
          <w:szCs w:val="12"/>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3" w:name="page204"/>
    <w:bookmarkEnd w:id="203"/>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15"/>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7"/>
              </w:rPr>
              <w:t>4(d)(7)</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19"/>
          </w:tcPr>
          <w:p>
            <w:pPr>
              <w:spacing w:after="0" w:line="137" w:lineRule="exact"/>
              <w:rPr>
                <w:rFonts w:ascii="Times New Roman" w:cs="Times New Roman" w:eastAsia="Times New Roman" w:hAnsi="Times New Roman"/>
                <w:sz w:val="13"/>
                <w:szCs w:val="13"/>
                <w:color w:val="0000FF"/>
              </w:rPr>
            </w:pPr>
            <w:hyperlink r:id="rId289">
              <w:r>
                <w:rPr>
                  <w:rFonts w:ascii="Times New Roman" w:cs="Times New Roman" w:eastAsia="Times New Roman" w:hAnsi="Times New Roman"/>
                  <w:sz w:val="13"/>
                  <w:szCs w:val="13"/>
                  <w:color w:val="0000FF"/>
                </w:rPr>
                <w:t>Supplemental Indenture No. 18 to Exhibit 4(d)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89">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October 1, 2020, providing for</w:t>
              </w:r>
            </w:hyperlink>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89">
              <w:r>
                <w:rPr>
                  <w:rFonts w:ascii="Times New Roman" w:cs="Times New Roman" w:eastAsia="Times New Roman" w:hAnsi="Times New Roman"/>
                  <w:sz w:val="12"/>
                  <w:szCs w:val="12"/>
                  <w:color w:val="0000FF"/>
                </w:rPr>
                <w:t>the issuance of CERC Corp.’s 1.75% Senior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89">
              <w:r>
                <w:rPr>
                  <w:rFonts w:ascii="Times New Roman" w:cs="Times New Roman" w:eastAsia="Times New Roman" w:hAnsi="Times New Roman"/>
                  <w:sz w:val="12"/>
                  <w:szCs w:val="12"/>
                  <w:color w:val="0000FF"/>
                </w:rPr>
                <w:t>Notes due 2030</w:t>
              </w:r>
            </w:hyperlink>
          </w:p>
        </w:tc>
        <w:tc>
          <w:tcPr>
            <w:tcW w:w="14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4(d)(8)</w:t>
            </w:r>
          </w:p>
        </w:tc>
        <w:tc>
          <w:tcPr>
            <w:tcW w:w="2840" w:type="dxa"/>
            <w:vAlign w:val="bottom"/>
            <w:gridSpan w:val="2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0">
              <w:r>
                <w:rPr>
                  <w:rFonts w:ascii="Times New Roman" w:cs="Times New Roman" w:eastAsia="Times New Roman" w:hAnsi="Times New Roman"/>
                  <w:sz w:val="13"/>
                  <w:szCs w:val="13"/>
                  <w:color w:val="0000FF"/>
                </w:rPr>
                <w:t>Supplemental Indenture No. 21, dated as of June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90">
              <w:r>
                <w:rPr>
                  <w:rFonts w:ascii="Times New Roman" w:cs="Times New Roman" w:eastAsia="Times New Roman" w:hAnsi="Times New Roman"/>
                  <w:sz w:val="12"/>
                  <w:szCs w:val="12"/>
                  <w:color w:val="0000FF"/>
                </w:rPr>
                <w:t>9, 2022, to the Indenture under Exhibit 4(d)(1)</w:t>
              </w:r>
            </w:hyperlink>
          </w:p>
        </w:tc>
        <w:tc>
          <w:tcPr>
            <w:tcW w:w="1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4(d)(9)</w:t>
            </w:r>
          </w:p>
        </w:tc>
        <w:tc>
          <w:tcPr>
            <w:tcW w:w="2840" w:type="dxa"/>
            <w:vAlign w:val="bottom"/>
            <w:gridSpan w:val="2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1">
              <w:r>
                <w:rPr>
                  <w:rFonts w:ascii="Times New Roman" w:cs="Times New Roman" w:eastAsia="Times New Roman" w:hAnsi="Times New Roman"/>
                  <w:sz w:val="13"/>
                  <w:szCs w:val="13"/>
                  <w:color w:val="0000FF"/>
                </w:rPr>
                <w:t>Supplemental Indenture No. 22, to Exhibit 4(d)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October 5, 2022, providing for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the issuance of CERC Corp.’s 6.10% Senior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Notes due 2035</w:t>
              </w:r>
            </w:hyperlink>
          </w:p>
        </w:tc>
        <w:tc>
          <w:tcPr>
            <w:tcW w:w="14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4(d)(10)</w:t>
            </w:r>
          </w:p>
        </w:tc>
        <w:tc>
          <w:tcPr>
            <w:tcW w:w="2840" w:type="dxa"/>
            <w:vAlign w:val="bottom"/>
            <w:gridSpan w:val="2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2">
              <w:r>
                <w:rPr>
                  <w:rFonts w:ascii="Times New Roman" w:cs="Times New Roman" w:eastAsia="Times New Roman" w:hAnsi="Times New Roman"/>
                  <w:sz w:val="13"/>
                  <w:szCs w:val="13"/>
                  <w:color w:val="0000FF"/>
                </w:rPr>
                <w:t>Supplemental Indenture No. 23 to Exhibit 4(d)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19"/>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February 23, 2023, providing for</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the issuance of CERC Corp.’s 5.25% Senior</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Notes due 2028 and 5.40% Senior Notes due</w:t>
              </w:r>
            </w:hyperlink>
          </w:p>
        </w:tc>
        <w:tc>
          <w:tcPr>
            <w:tcW w:w="20" w:type="dxa"/>
            <w:vAlign w:val="bottom"/>
            <w:tcBorders>
              <w:bottom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292">
              <w:r>
                <w:rPr>
                  <w:rFonts w:ascii="Times New Roman" w:cs="Times New Roman" w:eastAsia="Times New Roman" w:hAnsi="Times New Roman"/>
                  <w:sz w:val="12"/>
                  <w:szCs w:val="12"/>
                  <w:color w:val="0000FF"/>
                  <w:w w:val="99"/>
                </w:rPr>
                <w:t>2033</w:t>
              </w:r>
            </w:hyperlink>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4(d)(11)</w:t>
            </w:r>
          </w:p>
        </w:tc>
        <w:tc>
          <w:tcPr>
            <w:tcW w:w="2840" w:type="dxa"/>
            <w:vAlign w:val="bottom"/>
            <w:gridSpan w:val="2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3">
              <w:r>
                <w:rPr>
                  <w:rFonts w:ascii="Times New Roman" w:cs="Times New Roman" w:eastAsia="Times New Roman" w:hAnsi="Times New Roman"/>
                  <w:sz w:val="13"/>
                  <w:szCs w:val="13"/>
                  <w:color w:val="0000FF"/>
                </w:rPr>
                <w:t>Supplemental Indenture No. 24 to Exhibit 4(d)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93">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May 3, 2023, providing for the</w:t>
              </w:r>
            </w:hyperlink>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93">
              <w:r>
                <w:rPr>
                  <w:rFonts w:ascii="Times New Roman" w:cs="Times New Roman" w:eastAsia="Times New Roman" w:hAnsi="Times New Roman"/>
                  <w:sz w:val="12"/>
                  <w:szCs w:val="12"/>
                  <w:color w:val="0000FF"/>
                </w:rPr>
                <w:t>issuance of CERC Corp.’s 5.25% Senior Notes</w:t>
              </w:r>
            </w:hyperlink>
          </w:p>
        </w:tc>
        <w:tc>
          <w:tcPr>
            <w:tcW w:w="20" w:type="dxa"/>
            <w:vAlign w:val="bottom"/>
            <w:tcBorders>
              <w:bottom w:val="single" w:sz="8" w:color="0000FF"/>
            </w:tcBorders>
          </w:tcPr>
          <w:p>
            <w:pPr>
              <w:spacing w:after="0"/>
              <w:rPr>
                <w:sz w:val="9"/>
                <w:szCs w:val="9"/>
                <w:color w:val="auto"/>
              </w:rPr>
            </w:pPr>
          </w:p>
        </w:tc>
        <w:tc>
          <w:tcPr>
            <w:tcW w:w="0" w:type="dxa"/>
            <w:vAlign w:val="bottom"/>
            <w:tcBorders>
              <w:bottom w:val="single" w:sz="8" w:color="0000FF"/>
            </w:tcBorders>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93">
              <w:r>
                <w:rPr>
                  <w:rFonts w:ascii="Times New Roman" w:cs="Times New Roman" w:eastAsia="Times New Roman" w:hAnsi="Times New Roman"/>
                  <w:sz w:val="12"/>
                  <w:szCs w:val="12"/>
                  <w:color w:val="0000FF"/>
                </w:rPr>
                <w:t>due 2028</w:t>
              </w:r>
            </w:hyperlink>
          </w:p>
        </w:tc>
        <w:tc>
          <w:tcPr>
            <w:tcW w:w="1920" w:type="dxa"/>
            <w:vAlign w:val="bottom"/>
            <w:gridSpan w:val="11"/>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4(d)(12)</w:t>
            </w:r>
          </w:p>
        </w:tc>
        <w:tc>
          <w:tcPr>
            <w:tcW w:w="2840" w:type="dxa"/>
            <w:vAlign w:val="bottom"/>
            <w:gridSpan w:val="2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4">
              <w:r>
                <w:rPr>
                  <w:rFonts w:ascii="Times New Roman" w:cs="Times New Roman" w:eastAsia="Times New Roman" w:hAnsi="Times New Roman"/>
                  <w:sz w:val="13"/>
                  <w:szCs w:val="13"/>
                  <w:color w:val="0000FF"/>
                </w:rPr>
                <w:t>Supplemental Indenture No. 25 to Exhibit 4(d)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19"/>
          </w:tcPr>
          <w:p>
            <w:pPr>
              <w:spacing w:after="0" w:line="107" w:lineRule="exact"/>
              <w:rPr>
                <w:rFonts w:ascii="Times New Roman" w:cs="Times New Roman" w:eastAsia="Times New Roman" w:hAnsi="Times New Roman"/>
                <w:sz w:val="12"/>
                <w:szCs w:val="12"/>
                <w:color w:val="0000FF"/>
              </w:rPr>
            </w:pPr>
            <w:hyperlink r:id="rId294">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June 20, 2024, providing for the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94">
              <w:r>
                <w:rPr>
                  <w:rFonts w:ascii="Times New Roman" w:cs="Times New Roman" w:eastAsia="Times New Roman" w:hAnsi="Times New Roman"/>
                  <w:sz w:val="12"/>
                  <w:szCs w:val="12"/>
                  <w:color w:val="0000FF"/>
                </w:rPr>
                <w:t>issuance of CERC Corp.’s 5.40% Senior Notes</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94">
              <w:r>
                <w:rPr>
                  <w:rFonts w:ascii="Times New Roman" w:cs="Times New Roman" w:eastAsia="Times New Roman" w:hAnsi="Times New Roman"/>
                  <w:sz w:val="12"/>
                  <w:szCs w:val="12"/>
                  <w:color w:val="0000FF"/>
                </w:rPr>
                <w:t>due 2034</w:t>
              </w:r>
            </w:hyperlink>
          </w:p>
        </w:tc>
        <w:tc>
          <w:tcPr>
            <w:tcW w:w="1920" w:type="dxa"/>
            <w:vAlign w:val="bottom"/>
            <w:tcBorders>
              <w:top w:val="single" w:sz="8" w:color="0000FF"/>
            </w:tcBorders>
            <w:gridSpan w:val="11"/>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4(e)(1)</w:t>
            </w:r>
          </w:p>
        </w:tc>
        <w:tc>
          <w:tcPr>
            <w:tcW w:w="2840" w:type="dxa"/>
            <w:vAlign w:val="bottom"/>
            <w:gridSpan w:val="2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5">
              <w:r>
                <w:rPr>
                  <w:rFonts w:ascii="Times New Roman" w:cs="Times New Roman" w:eastAsia="Times New Roman" w:hAnsi="Times New Roman"/>
                  <w:sz w:val="13"/>
                  <w:szCs w:val="13"/>
                  <w:color w:val="0000FF"/>
                </w:rPr>
                <w:t>Indenture, dated as of May 19, 2003, between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19"/>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CenterPoint Energy and JPMorgan Chase Bank,</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as Trustee</w:t>
              </w:r>
            </w:hyperlink>
          </w:p>
        </w:tc>
        <w:tc>
          <w:tcPr>
            <w:tcW w:w="1940" w:type="dxa"/>
            <w:vAlign w:val="bottom"/>
            <w:tcBorders>
              <w:top w:val="single" w:sz="8" w:color="0000FF"/>
            </w:tcBorders>
            <w:gridSpan w:val="13"/>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4(e)(2)</w:t>
            </w:r>
          </w:p>
        </w:tc>
        <w:tc>
          <w:tcPr>
            <w:tcW w:w="2840" w:type="dxa"/>
            <w:vAlign w:val="bottom"/>
            <w:gridSpan w:val="2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6">
              <w:r>
                <w:rPr>
                  <w:rFonts w:ascii="Times New Roman" w:cs="Times New Roman" w:eastAsia="Times New Roman" w:hAnsi="Times New Roman"/>
                  <w:sz w:val="13"/>
                  <w:szCs w:val="13"/>
                  <w:color w:val="0000FF"/>
                </w:rPr>
                <w:t>Supplemental Indenture No. 10 to Exhibit 4(e)</w:t>
              </w:r>
            </w:hyperlink>
          </w:p>
        </w:tc>
        <w:tc>
          <w:tcPr>
            <w:tcW w:w="0" w:type="dxa"/>
            <w:vAlign w:val="bottom"/>
          </w:tcPr>
          <w:p>
            <w:pPr>
              <w:spacing w:after="0"/>
              <w:rPr>
                <w:sz w:val="1"/>
                <w:szCs w:val="1"/>
                <w:color w:val="auto"/>
              </w:rPr>
            </w:pPr>
          </w:p>
        </w:tc>
      </w:tr>
      <w:tr>
        <w:trPr>
          <w:trHeight w:val="111"/>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1"/>
          </w:tcPr>
          <w:p>
            <w:pPr>
              <w:spacing w:after="0" w:line="111" w:lineRule="exact"/>
              <w:rPr>
                <w:rFonts w:ascii="Times New Roman" w:cs="Times New Roman" w:eastAsia="Times New Roman" w:hAnsi="Times New Roman"/>
                <w:sz w:val="12"/>
                <w:szCs w:val="12"/>
                <w:u w:val="single" w:color="auto"/>
                <w:color w:val="0000FF"/>
              </w:rPr>
            </w:pPr>
            <w:hyperlink r:id="rId296">
              <w:r>
                <w:rPr>
                  <w:rFonts w:ascii="Times New Roman" w:cs="Times New Roman" w:eastAsia="Times New Roman" w:hAnsi="Times New Roman"/>
                  <w:sz w:val="12"/>
                  <w:szCs w:val="12"/>
                  <w:u w:val="single" w:color="auto"/>
                  <w:color w:val="0000FF"/>
                </w:rPr>
                <w:t>(1), dated as of October 5, 2018, providing for</w:t>
              </w:r>
            </w:hyperlink>
          </w:p>
        </w:tc>
        <w:tc>
          <w:tcPr>
            <w:tcW w:w="12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bl>
    <w:p>
      <w:pPr>
        <w:ind w:left="1600" w:right="60"/>
        <w:spacing w:after="0" w:line="217" w:lineRule="auto"/>
        <w:rPr>
          <w:rFonts w:ascii="Times New Roman" w:cs="Times New Roman" w:eastAsia="Times New Roman" w:hAnsi="Times New Roman"/>
          <w:sz w:val="13"/>
          <w:szCs w:val="13"/>
          <w:u w:val="single" w:color="auto"/>
          <w:color w:val="0000FF"/>
        </w:rPr>
      </w:pPr>
      <w:hyperlink r:id="rId296">
        <w:r>
          <w:rPr>
            <w:rFonts w:ascii="Times New Roman" w:cs="Times New Roman" w:eastAsia="Times New Roman" w:hAnsi="Times New Roman"/>
            <w:sz w:val="13"/>
            <w:szCs w:val="13"/>
            <w:u w:val="single" w:color="auto"/>
            <w:color w:val="0000FF"/>
          </w:rPr>
          <w:t>the issuance of CenterPoint Energy’s 3.60%</w:t>
        </w:r>
      </w:hyperlink>
      <w:r>
        <w:rPr>
          <w:rFonts w:ascii="Times New Roman" w:cs="Times New Roman" w:eastAsia="Times New Roman" w:hAnsi="Times New Roman"/>
          <w:sz w:val="13"/>
          <w:szCs w:val="13"/>
          <w:u w:val="single" w:color="auto"/>
          <w:color w:val="0000FF"/>
        </w:rPr>
        <w:t xml:space="preserve"> </w:t>
      </w:r>
      <w:hyperlink r:id="rId296">
        <w:r>
          <w:rPr>
            <w:rFonts w:ascii="Times New Roman" w:cs="Times New Roman" w:eastAsia="Times New Roman" w:hAnsi="Times New Roman"/>
            <w:sz w:val="13"/>
            <w:szCs w:val="13"/>
            <w:u w:val="single" w:color="auto"/>
            <w:color w:val="0000FF"/>
          </w:rPr>
          <w:t>Senior Notes due 2021, 3.85% Senior Notes due</w:t>
        </w:r>
      </w:hyperlink>
      <w:r>
        <w:rPr>
          <w:rFonts w:ascii="Times New Roman" w:cs="Times New Roman" w:eastAsia="Times New Roman" w:hAnsi="Times New Roman"/>
          <w:sz w:val="13"/>
          <w:szCs w:val="13"/>
          <w:u w:val="single" w:color="auto"/>
          <w:color w:val="0000FF"/>
        </w:rPr>
        <w:t xml:space="preserve"> </w:t>
      </w:r>
      <w:hyperlink r:id="rId296">
        <w:r>
          <w:rPr>
            <w:rFonts w:ascii="Times New Roman" w:cs="Times New Roman" w:eastAsia="Times New Roman" w:hAnsi="Times New Roman"/>
            <w:sz w:val="13"/>
            <w:szCs w:val="13"/>
            <w:u w:val="single" w:color="auto"/>
            <w:color w:val="0000FF"/>
          </w:rPr>
          <w:t>2024 and 4.25% Senior Notes due 2028</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213" w:lineRule="exact"/>
        <w:rPr>
          <w:rFonts w:ascii="Times New Roman" w:cs="Times New Roman" w:eastAsia="Times New Roman" w:hAnsi="Times New Roman"/>
          <w:sz w:val="13"/>
          <w:szCs w:val="13"/>
          <w:u w:val="single" w:color="auto"/>
          <w:color w:val="0000FF"/>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7">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rFonts w:ascii="Times New Roman" w:cs="Times New Roman" w:eastAsia="Times New Roman" w:hAnsi="Times New Roman"/>
          <w:sz w:val="13"/>
          <w:szCs w:val="13"/>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2020</w:t>
      </w:r>
    </w:p>
    <w:p>
      <w:pPr>
        <w:spacing w:after="0" w:line="133" w:lineRule="exact"/>
        <w:rPr>
          <w:rFonts w:ascii="Times New Roman" w:cs="Times New Roman" w:eastAsia="Times New Roman" w:hAnsi="Times New Roman"/>
          <w:sz w:val="13"/>
          <w:szCs w:val="13"/>
          <w:u w:val="single" w:color="auto"/>
          <w:color w:val="0000FF"/>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2022</w:t>
      </w:r>
    </w:p>
    <w:p>
      <w:pPr>
        <w:spacing w:after="0" w:line="6" w:lineRule="exact"/>
        <w:rPr>
          <w:rFonts w:ascii="Times New Roman" w:cs="Times New Roman" w:eastAsia="Times New Roman" w:hAnsi="Times New Roman"/>
          <w:sz w:val="13"/>
          <w:szCs w:val="13"/>
          <w:u w:val="single" w:color="auto"/>
          <w:color w:val="0000FF"/>
        </w:rPr>
      </w:pPr>
    </w:p>
    <w:p>
      <w:pPr>
        <w:ind w:right="380"/>
        <w:spacing w:after="0" w:line="235" w:lineRule="auto"/>
        <w:rPr>
          <w:sz w:val="20"/>
          <w:szCs w:val="20"/>
          <w:color w:val="auto"/>
        </w:rPr>
      </w:pPr>
      <w:r>
        <w:rPr>
          <w:rFonts w:ascii="Times New Roman" w:cs="Times New Roman" w:eastAsia="Times New Roman" w:hAnsi="Times New Roman"/>
          <w:sz w:val="13"/>
          <w:szCs w:val="13"/>
          <w:color w:val="auto"/>
        </w:rPr>
        <w:t>CERC’s Form 8-K dated October 5, 2022</w:t>
      </w:r>
    </w:p>
    <w:p>
      <w:pPr>
        <w:spacing w:after="0" w:line="259" w:lineRule="exact"/>
        <w:rPr>
          <w:rFonts w:ascii="Times New Roman" w:cs="Times New Roman" w:eastAsia="Times New Roman" w:hAnsi="Times New Roman"/>
          <w:sz w:val="13"/>
          <w:szCs w:val="13"/>
          <w:u w:val="single" w:color="auto"/>
          <w:color w:val="0000FF"/>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2023</w:t>
      </w:r>
    </w:p>
    <w:p>
      <w:pPr>
        <w:spacing w:after="0" w:line="260" w:lineRule="exact"/>
        <w:rPr>
          <w:rFonts w:ascii="Times New Roman" w:cs="Times New Roman" w:eastAsia="Times New Roman" w:hAnsi="Times New Roman"/>
          <w:sz w:val="13"/>
          <w:szCs w:val="13"/>
          <w:u w:val="single" w:color="auto"/>
          <w:color w:val="0000FF"/>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2023</w:t>
      </w:r>
    </w:p>
    <w:p>
      <w:pPr>
        <w:spacing w:after="0" w:line="133" w:lineRule="exact"/>
        <w:rPr>
          <w:rFonts w:ascii="Times New Roman" w:cs="Times New Roman" w:eastAsia="Times New Roman" w:hAnsi="Times New Roman"/>
          <w:sz w:val="13"/>
          <w:szCs w:val="13"/>
          <w:u w:val="single" w:color="auto"/>
          <w:color w:val="0000FF"/>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2024</w:t>
      </w:r>
    </w:p>
    <w:p>
      <w:pPr>
        <w:spacing w:after="0" w:line="133" w:lineRule="exact"/>
        <w:rPr>
          <w:rFonts w:ascii="Times New Roman" w:cs="Times New Roman" w:eastAsia="Times New Roman" w:hAnsi="Times New Roman"/>
          <w:sz w:val="13"/>
          <w:szCs w:val="13"/>
          <w:u w:val="single" w:color="auto"/>
          <w:color w:val="0000FF"/>
        </w:rPr>
      </w:pPr>
    </w:p>
    <w:p>
      <w:pPr>
        <w:jc w:val="both"/>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May 19, 2003</w:t>
      </w:r>
    </w:p>
    <w:p>
      <w:pPr>
        <w:spacing w:after="0" w:line="132" w:lineRule="exact"/>
        <w:rPr>
          <w:rFonts w:ascii="Times New Roman" w:cs="Times New Roman" w:eastAsia="Times New Roman" w:hAnsi="Times New Roman"/>
          <w:sz w:val="13"/>
          <w:szCs w:val="13"/>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2018</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4.23</w:t>
            </w:r>
          </w:p>
        </w:tc>
        <w:tc>
          <w:tcPr>
            <w:tcW w:w="100" w:type="dxa"/>
            <w:vAlign w:val="bottom"/>
          </w:tcPr>
          <w:p>
            <w:pPr>
              <w:spacing w:after="0"/>
              <w:rPr>
                <w:sz w:val="13"/>
                <w:szCs w:val="13"/>
                <w:color w:val="auto"/>
              </w:rPr>
            </w:pPr>
          </w:p>
        </w:tc>
        <w:tc>
          <w:tcPr>
            <w:tcW w:w="10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679"/>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4.14</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2"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4120" w:space="120"/>
            <w:col w:w="1640" w:space="120"/>
            <w:col w:w="5280"/>
          </w:cols>
          <w:pgMar w:left="300" w:top="747" w:right="319" w:bottom="1440" w:gutter="0" w:footer="0" w:header="0"/>
        </w:sectPr>
      </w:pPr>
    </w:p>
    <w:tbl>
      <w:tblPr>
        <w:tblLayout w:type="fixed"/>
        <w:tblInd w:w="480" w:type="dxa"/>
        <w:tblCellMar>
          <w:top w:w="0" w:type="dxa"/>
          <w:left w:w="0" w:type="dxa"/>
          <w:bottom w:w="0" w:type="dxa"/>
          <w:right w:w="0" w:type="dxa"/>
        </w:tblCellMar>
      </w:tblPr>
      <w:tr>
        <w:trPr>
          <w:trHeight w:val="149"/>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4(e)(3)</w:t>
            </w:r>
          </w:p>
        </w:tc>
        <w:tc>
          <w:tcPr>
            <w:tcW w:w="3080" w:type="dxa"/>
            <w:vAlign w:val="bottom"/>
            <w:gridSpan w:val="12"/>
          </w:tcPr>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8">
              <w:r>
                <w:rPr>
                  <w:rFonts w:ascii="Times New Roman" w:cs="Times New Roman" w:eastAsia="Times New Roman" w:hAnsi="Times New Roman"/>
                  <w:sz w:val="13"/>
                  <w:szCs w:val="13"/>
                  <w:color w:val="0000FF"/>
                </w:rPr>
                <w:t>Supplemental Indenture No. 11 to Exhibit 4(e)</w:t>
              </w:r>
            </w:hyperlink>
          </w:p>
        </w:tc>
        <w:tc>
          <w:tcPr>
            <w:tcW w:w="17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8"/>
              </w:rPr>
              <w:t>CenterPoint Energy’s Form 10-</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6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98">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August 14, 2019, providing for</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Q for the quarter ended</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0" w:type="dxa"/>
            <w:vAlign w:val="bottom"/>
            <w:gridSpan w:val="7"/>
          </w:tcPr>
          <w:p>
            <w:pPr>
              <w:spacing w:after="0" w:line="107" w:lineRule="exact"/>
              <w:rPr>
                <w:rFonts w:ascii="Times New Roman" w:cs="Times New Roman" w:eastAsia="Times New Roman" w:hAnsi="Times New Roman"/>
                <w:sz w:val="12"/>
                <w:szCs w:val="12"/>
                <w:color w:val="0000FF"/>
              </w:rPr>
            </w:pPr>
            <w:hyperlink r:id="rId298">
              <w:r>
                <w:rPr>
                  <w:rFonts w:ascii="Times New Roman" w:cs="Times New Roman" w:eastAsia="Times New Roman" w:hAnsi="Times New Roman"/>
                  <w:sz w:val="12"/>
                  <w:szCs w:val="12"/>
                  <w:color w:val="0000FF"/>
                </w:rPr>
                <w:t>the issuance of CenterPoint Energy’s 2.50%</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September 30, 2019</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40" w:type="dxa"/>
            <w:vAlign w:val="bottom"/>
            <w:tcBorders>
              <w:top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98">
              <w:r>
                <w:rPr>
                  <w:rFonts w:ascii="Times New Roman" w:cs="Times New Roman" w:eastAsia="Times New Roman" w:hAnsi="Times New Roman"/>
                  <w:sz w:val="12"/>
                  <w:szCs w:val="12"/>
                  <w:color w:val="0000FF"/>
                </w:rPr>
                <w:t>Senior Notes due 2024, 2.95% Senior Notes</w:t>
              </w:r>
            </w:hyperlink>
          </w:p>
        </w:tc>
        <w:tc>
          <w:tcPr>
            <w:tcW w:w="300" w:type="dxa"/>
            <w:vAlign w:val="bottom"/>
            <w:gridSpan w:val="8"/>
          </w:tcPr>
          <w:p>
            <w:pPr>
              <w:ind w:left="40"/>
              <w:spacing w:after="0" w:line="107" w:lineRule="exact"/>
              <w:rPr>
                <w:rFonts w:ascii="Times New Roman" w:cs="Times New Roman" w:eastAsia="Times New Roman" w:hAnsi="Times New Roman"/>
                <w:sz w:val="12"/>
                <w:szCs w:val="12"/>
                <w:color w:val="0000FF"/>
              </w:rPr>
            </w:pPr>
            <w:hyperlink r:id="rId298">
              <w:r>
                <w:rPr>
                  <w:rFonts w:ascii="Times New Roman" w:cs="Times New Roman" w:eastAsia="Times New Roman" w:hAnsi="Times New Roman"/>
                  <w:sz w:val="12"/>
                  <w:szCs w:val="12"/>
                  <w:color w:val="0000FF"/>
                </w:rPr>
                <w:t>due</w:t>
              </w:r>
            </w:hyperlink>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6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98">
              <w:r>
                <w:rPr>
                  <w:rFonts w:ascii="Times New Roman" w:cs="Times New Roman" w:eastAsia="Times New Roman" w:hAnsi="Times New Roman"/>
                  <w:sz w:val="12"/>
                  <w:szCs w:val="12"/>
                  <w:color w:val="0000FF"/>
                </w:rPr>
                <w:t>2030 and 3.70% Senior Notes due 2049</w:t>
              </w:r>
            </w:hyperlink>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4(e)(4)</w:t>
            </w:r>
          </w:p>
        </w:tc>
        <w:tc>
          <w:tcPr>
            <w:tcW w:w="3080" w:type="dxa"/>
            <w:vAlign w:val="bottom"/>
            <w:gridSpan w:val="12"/>
          </w:tcPr>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9">
              <w:r>
                <w:rPr>
                  <w:rFonts w:ascii="Times New Roman" w:cs="Times New Roman" w:eastAsia="Times New Roman" w:hAnsi="Times New Roman"/>
                  <w:sz w:val="13"/>
                  <w:szCs w:val="13"/>
                  <w:color w:val="0000FF"/>
                </w:rPr>
                <w:t>Supplemental Indenture No. 13 to Exhibit 4(e)</w:t>
              </w:r>
            </w:hyperlink>
          </w:p>
        </w:tc>
        <w:tc>
          <w:tcPr>
            <w:tcW w:w="17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8"/>
              </w:rPr>
              <w:t>CenterPoint Energy’s Form 10-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40" w:type="dxa"/>
            <w:vAlign w:val="bottom"/>
            <w:vMerge w:val="restart"/>
          </w:tcPr>
          <w:p>
            <w:pPr>
              <w:ind w:left="100"/>
              <w:spacing w:after="0" w:line="128" w:lineRule="exact"/>
              <w:rPr>
                <w:sz w:val="20"/>
                <w:szCs w:val="20"/>
                <w:color w:val="auto"/>
              </w:rPr>
            </w:pPr>
            <w:r>
              <w:rPr>
                <w:rFonts w:ascii="Times New Roman" w:cs="Times New Roman" w:eastAsia="Times New Roman" w:hAnsi="Times New Roman"/>
                <w:sz w:val="13"/>
                <w:szCs w:val="13"/>
                <w:color w:val="auto"/>
                <w:w w:val="96"/>
              </w:rPr>
              <w:t>Q for the quarter ended June 30,</w:t>
            </w:r>
          </w:p>
        </w:tc>
        <w:tc>
          <w:tcPr>
            <w:tcW w:w="0" w:type="dxa"/>
            <w:vAlign w:val="bottom"/>
          </w:tcPr>
          <w:p>
            <w:pPr>
              <w:spacing w:after="0" w:line="20" w:lineRule="exact"/>
              <w:rPr>
                <w:sz w:val="1"/>
                <w:szCs w:val="1"/>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540" w:type="dxa"/>
            <w:vAlign w:val="bottom"/>
            <w:gridSpan w:val="11"/>
          </w:tcPr>
          <w:p>
            <w:pPr>
              <w:spacing w:after="0" w:line="107" w:lineRule="exact"/>
              <w:rPr>
                <w:rFonts w:ascii="Times New Roman" w:cs="Times New Roman" w:eastAsia="Times New Roman" w:hAnsi="Times New Roman"/>
                <w:sz w:val="12"/>
                <w:szCs w:val="12"/>
                <w:color w:val="0000FF"/>
              </w:rPr>
            </w:pPr>
            <w:hyperlink r:id="rId299">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May 13, 2021, providing for the</w:t>
              </w:r>
            </w:hyperlink>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4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99">
              <w:r>
                <w:rPr>
                  <w:rFonts w:ascii="Times New Roman" w:cs="Times New Roman" w:eastAsia="Times New Roman" w:hAnsi="Times New Roman"/>
                  <w:sz w:val="12"/>
                  <w:szCs w:val="12"/>
                  <w:color w:val="0000FF"/>
                </w:rPr>
                <w:t>issuance of CenterPoint Energy’s 1.45% Senior</w:t>
              </w:r>
            </w:hyperlink>
          </w:p>
        </w:tc>
        <w:tc>
          <w:tcPr>
            <w:tcW w:w="100" w:type="dxa"/>
            <w:vAlign w:val="bottom"/>
            <w:gridSpan w:val="2"/>
          </w:tcPr>
          <w:p>
            <w:pPr>
              <w:spacing w:after="0"/>
              <w:rPr>
                <w:sz w:val="9"/>
                <w:szCs w:val="9"/>
                <w:color w:val="auto"/>
              </w:rPr>
            </w:pPr>
          </w:p>
        </w:tc>
        <w:tc>
          <w:tcPr>
            <w:tcW w:w="174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2021</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2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99">
              <w:r>
                <w:rPr>
                  <w:rFonts w:ascii="Times New Roman" w:cs="Times New Roman" w:eastAsia="Times New Roman" w:hAnsi="Times New Roman"/>
                  <w:sz w:val="12"/>
                  <w:szCs w:val="12"/>
                  <w:color w:val="0000FF"/>
                </w:rPr>
                <w:t>Notes due 2026 and 2.65% Senior Notes due</w:t>
              </w:r>
            </w:hyperlink>
          </w:p>
        </w:tc>
        <w:tc>
          <w:tcPr>
            <w:tcW w:w="120" w:type="dxa"/>
            <w:vAlign w:val="bottom"/>
            <w:gridSpan w:val="3"/>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299">
              <w:r>
                <w:rPr>
                  <w:rFonts w:ascii="Times New Roman" w:cs="Times New Roman" w:eastAsia="Times New Roman" w:hAnsi="Times New Roman"/>
                  <w:sz w:val="12"/>
                  <w:szCs w:val="12"/>
                  <w:color w:val="0000FF"/>
                  <w:w w:val="99"/>
                </w:rPr>
                <w:t>2031</w:t>
              </w:r>
            </w:hyperlink>
          </w:p>
        </w:tc>
        <w:tc>
          <w:tcPr>
            <w:tcW w:w="17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1-31447</w:t>
            </w: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4.2</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870"/>
        </w:trPr>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1-31447</w:t>
            </w: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4.25</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bl>
    <w:p>
      <w:pPr>
        <w:sectPr>
          <w:pgSz w:w="11900" w:h="16838" w:orient="portrait"/>
          <w:cols w:equalWidth="0" w:num="2">
            <w:col w:w="5880" w:space="460"/>
            <w:col w:w="4940"/>
          </w:cols>
          <w:pgMar w:left="300" w:top="747" w:right="319" w:bottom="1440" w:gutter="0" w:footer="0" w:header="0"/>
          <w:type w:val="continuous"/>
        </w:sectPr>
      </w:pPr>
    </w:p>
    <w:bookmarkStart w:id="204" w:name="page205"/>
    <w:bookmarkEnd w:id="204"/>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0" w:type="dxa"/>
            <w:vAlign w:val="bottom"/>
            <w:gridSpan w:val="26"/>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4"/>
              </w:rPr>
              <w:t>4(e)(5)</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600" w:type="dxa"/>
            <w:vAlign w:val="bottom"/>
            <w:gridSpan w:val="27"/>
          </w:tcPr>
          <w:p>
            <w:pPr>
              <w:spacing w:after="0" w:line="137" w:lineRule="exact"/>
              <w:rPr>
                <w:rFonts w:ascii="Times New Roman" w:cs="Times New Roman" w:eastAsia="Times New Roman" w:hAnsi="Times New Roman"/>
                <w:sz w:val="13"/>
                <w:szCs w:val="13"/>
                <w:color w:val="0000FF"/>
              </w:rPr>
            </w:pPr>
            <w:hyperlink r:id="rId301">
              <w:r>
                <w:rPr>
                  <w:rFonts w:ascii="Times New Roman" w:cs="Times New Roman" w:eastAsia="Times New Roman" w:hAnsi="Times New Roman"/>
                  <w:sz w:val="13"/>
                  <w:szCs w:val="13"/>
                  <w:color w:val="0000FF"/>
                </w:rPr>
                <w:t>Supplemental Indenture No. 14 to Exhibit 4(e)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01">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August 10, 2023, providing for</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18"/>
          </w:tcPr>
          <w:p>
            <w:pPr>
              <w:spacing w:after="0" w:line="107" w:lineRule="exact"/>
              <w:rPr>
                <w:rFonts w:ascii="Times New Roman" w:cs="Times New Roman" w:eastAsia="Times New Roman" w:hAnsi="Times New Roman"/>
                <w:sz w:val="12"/>
                <w:szCs w:val="12"/>
                <w:color w:val="0000FF"/>
              </w:rPr>
            </w:pPr>
            <w:hyperlink r:id="rId301">
              <w:r>
                <w:rPr>
                  <w:rFonts w:ascii="Times New Roman" w:cs="Times New Roman" w:eastAsia="Times New Roman" w:hAnsi="Times New Roman"/>
                  <w:sz w:val="12"/>
                  <w:szCs w:val="12"/>
                  <w:color w:val="0000FF"/>
                </w:rPr>
                <w:t>the issuance of CenterPoint Energy’s 5.25%</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301">
              <w:r>
                <w:rPr>
                  <w:rFonts w:ascii="Times New Roman" w:cs="Times New Roman" w:eastAsia="Times New Roman" w:hAnsi="Times New Roman"/>
                  <w:sz w:val="12"/>
                  <w:szCs w:val="12"/>
                  <w:color w:val="0000FF"/>
                </w:rPr>
                <w:t>Senior Notes due 2026</w:t>
              </w:r>
            </w:hyperlink>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4(e)(6)</w:t>
            </w:r>
          </w:p>
        </w:tc>
        <w:tc>
          <w:tcPr>
            <w:tcW w:w="292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2">
              <w:r>
                <w:rPr>
                  <w:rFonts w:ascii="Times New Roman" w:cs="Times New Roman" w:eastAsia="Times New Roman" w:hAnsi="Times New Roman"/>
                  <w:sz w:val="13"/>
                  <w:szCs w:val="13"/>
                  <w:color w:val="0000FF"/>
                </w:rPr>
                <w:t>Supplemental Indenture No. 15 to Exhibit 4(e)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7"/>
          </w:tcPr>
          <w:p>
            <w:pPr>
              <w:spacing w:after="0" w:line="107" w:lineRule="exact"/>
              <w:rPr>
                <w:rFonts w:ascii="Times New Roman" w:cs="Times New Roman" w:eastAsia="Times New Roman" w:hAnsi="Times New Roman"/>
                <w:sz w:val="12"/>
                <w:szCs w:val="12"/>
                <w:color w:val="0000FF"/>
              </w:rPr>
            </w:pPr>
            <w:hyperlink r:id="rId302">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May 10, 2024, providing for the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302">
              <w:r>
                <w:rPr>
                  <w:rFonts w:ascii="Times New Roman" w:cs="Times New Roman" w:eastAsia="Times New Roman" w:hAnsi="Times New Roman"/>
                  <w:sz w:val="12"/>
                  <w:szCs w:val="12"/>
                  <w:color w:val="0000FF"/>
                </w:rPr>
                <w:t>issuance of CenterPoint Energy’s 5.40% Senior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302">
              <w:r>
                <w:rPr>
                  <w:rFonts w:ascii="Times New Roman" w:cs="Times New Roman" w:eastAsia="Times New Roman" w:hAnsi="Times New Roman"/>
                  <w:sz w:val="12"/>
                  <w:szCs w:val="12"/>
                  <w:color w:val="0000FF"/>
                </w:rPr>
                <w:t>Notes due 2029</w:t>
              </w:r>
            </w:hyperlink>
          </w:p>
        </w:tc>
        <w:tc>
          <w:tcPr>
            <w:tcW w:w="1680" w:type="dxa"/>
            <w:vAlign w:val="bottom"/>
            <w:tcBorders>
              <w:top w:val="single" w:sz="8" w:color="0000FF"/>
            </w:tcBorders>
            <w:gridSpan w:val="2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7"/>
              </w:rPr>
              <w:t>4(f)(1)</w:t>
            </w:r>
          </w:p>
        </w:tc>
        <w:tc>
          <w:tcPr>
            <w:tcW w:w="2920" w:type="dxa"/>
            <w:vAlign w:val="bottom"/>
            <w:gridSpan w:val="29"/>
          </w:tcPr>
          <w:p>
            <w:pPr>
              <w:ind w:left="20"/>
              <w:spacing w:after="0" w:line="139" w:lineRule="exact"/>
              <w:rPr>
                <w:sz w:val="20"/>
                <w:szCs w:val="20"/>
                <w:color w:val="auto"/>
              </w:rPr>
            </w:pPr>
            <w:r>
              <w:rPr>
                <w:rFonts w:ascii="Times New Roman" w:cs="Times New Roman" w:eastAsia="Times New Roman" w:hAnsi="Times New Roman"/>
                <w:sz w:val="13"/>
                <w:szCs w:val="13"/>
                <w:color w:val="auto"/>
              </w:rPr>
              <w:t>—   Subordinated Indenture dated as of September 1,</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112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1999</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4(f)(2)</w:t>
            </w:r>
          </w:p>
        </w:tc>
        <w:tc>
          <w:tcPr>
            <w:tcW w:w="2920" w:type="dxa"/>
            <w:vAlign w:val="bottom"/>
            <w:gridSpan w:val="29"/>
          </w:tcPr>
          <w:p>
            <w:pPr>
              <w:ind w:left="20"/>
              <w:spacing w:after="0" w:line="132" w:lineRule="exact"/>
              <w:rPr>
                <w:sz w:val="20"/>
                <w:szCs w:val="20"/>
                <w:color w:val="auto"/>
              </w:rPr>
            </w:pPr>
            <w:r>
              <w:rPr>
                <w:rFonts w:ascii="Times New Roman" w:cs="Times New Roman" w:eastAsia="Times New Roman" w:hAnsi="Times New Roman"/>
                <w:sz w:val="13"/>
                <w:szCs w:val="13"/>
                <w:color w:val="auto"/>
              </w:rPr>
              <w:t>—   Supplemental Indenture No. 1 dated as of</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gridSpan w:val="27"/>
          </w:tcPr>
          <w:p>
            <w:pPr>
              <w:spacing w:after="0" w:line="128" w:lineRule="exact"/>
              <w:rPr>
                <w:sz w:val="20"/>
                <w:szCs w:val="20"/>
                <w:color w:val="auto"/>
              </w:rPr>
            </w:pPr>
            <w:r>
              <w:rPr>
                <w:rFonts w:ascii="Times New Roman" w:cs="Times New Roman" w:eastAsia="Times New Roman" w:hAnsi="Times New Roman"/>
                <w:sz w:val="13"/>
                <w:szCs w:val="13"/>
                <w:color w:val="auto"/>
              </w:rPr>
              <w:t>September 1, 1999, between Reliant Energy and</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gridSpan w:val="27"/>
          </w:tcPr>
          <w:p>
            <w:pPr>
              <w:spacing w:after="0" w:line="128" w:lineRule="exact"/>
              <w:rPr>
                <w:sz w:val="20"/>
                <w:szCs w:val="20"/>
                <w:color w:val="auto"/>
              </w:rPr>
            </w:pPr>
            <w:r>
              <w:rPr>
                <w:rFonts w:ascii="Times New Roman" w:cs="Times New Roman" w:eastAsia="Times New Roman" w:hAnsi="Times New Roman"/>
                <w:sz w:val="13"/>
                <w:szCs w:val="13"/>
                <w:color w:val="auto"/>
              </w:rPr>
              <w:t>Chase Bank of Texas (supplementing Exhibit</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gridSpan w:val="27"/>
          </w:tcPr>
          <w:p>
            <w:pPr>
              <w:spacing w:after="0" w:line="128" w:lineRule="exact"/>
              <w:rPr>
                <w:sz w:val="20"/>
                <w:szCs w:val="20"/>
                <w:color w:val="auto"/>
              </w:rPr>
            </w:pPr>
            <w:r>
              <w:rPr>
                <w:rFonts w:ascii="Times New Roman" w:cs="Times New Roman" w:eastAsia="Times New Roman" w:hAnsi="Times New Roman"/>
                <w:sz w:val="13"/>
                <w:szCs w:val="13"/>
                <w:color w:val="auto"/>
              </w:rPr>
              <w:t>4(f)(1) and providing for the issuance Reliant</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gridSpan w:val="27"/>
          </w:tcPr>
          <w:p>
            <w:pPr>
              <w:spacing w:after="0" w:line="128" w:lineRule="exact"/>
              <w:rPr>
                <w:sz w:val="20"/>
                <w:szCs w:val="20"/>
                <w:color w:val="auto"/>
              </w:rPr>
            </w:pPr>
            <w:r>
              <w:rPr>
                <w:rFonts w:ascii="Times New Roman" w:cs="Times New Roman" w:eastAsia="Times New Roman" w:hAnsi="Times New Roman"/>
                <w:sz w:val="13"/>
                <w:szCs w:val="13"/>
                <w:color w:val="auto"/>
              </w:rPr>
              <w:t>Energy’s 2% Zero-Premium Exchangeable</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gridSpan w:val="27"/>
          </w:tcPr>
          <w:p>
            <w:pPr>
              <w:spacing w:after="0"/>
              <w:rPr>
                <w:sz w:val="20"/>
                <w:szCs w:val="20"/>
                <w:color w:val="auto"/>
              </w:rPr>
            </w:pPr>
            <w:r>
              <w:rPr>
                <w:rFonts w:ascii="Times New Roman" w:cs="Times New Roman" w:eastAsia="Times New Roman" w:hAnsi="Times New Roman"/>
                <w:sz w:val="13"/>
                <w:szCs w:val="13"/>
                <w:color w:val="auto"/>
              </w:rPr>
              <w:t>Subordinated Notes Due 2029)</w:t>
            </w:r>
          </w:p>
        </w:tc>
        <w:tc>
          <w:tcPr>
            <w:tcW w:w="0" w:type="dxa"/>
            <w:vAlign w:val="bottom"/>
          </w:tcPr>
          <w:p>
            <w:pPr>
              <w:spacing w:after="0"/>
              <w:rPr>
                <w:sz w:val="1"/>
                <w:szCs w:val="1"/>
                <w:color w:val="auto"/>
              </w:rPr>
            </w:pPr>
          </w:p>
        </w:tc>
      </w:tr>
      <w:tr>
        <w:trPr>
          <w:trHeight w:val="142"/>
        </w:trPr>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7"/>
              </w:rPr>
              <w:t>4(f)(3)</w:t>
            </w:r>
          </w:p>
        </w:tc>
        <w:tc>
          <w:tcPr>
            <w:tcW w:w="2920" w:type="dxa"/>
            <w:vAlign w:val="bottom"/>
            <w:gridSpan w:val="29"/>
          </w:tcPr>
          <w:p>
            <w:pPr>
              <w:ind w:left="2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3">
              <w:r>
                <w:rPr>
                  <w:rFonts w:ascii="Times New Roman" w:cs="Times New Roman" w:eastAsia="Times New Roman" w:hAnsi="Times New Roman"/>
                  <w:sz w:val="13"/>
                  <w:szCs w:val="13"/>
                  <w:color w:val="0000FF"/>
                </w:rPr>
                <w:t>Supplemental Indenture No. 2 dated as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7"/>
          </w:tcPr>
          <w:p>
            <w:pPr>
              <w:spacing w:after="0" w:line="107" w:lineRule="exact"/>
              <w:rPr>
                <w:rFonts w:ascii="Times New Roman" w:cs="Times New Roman" w:eastAsia="Times New Roman" w:hAnsi="Times New Roman"/>
                <w:sz w:val="12"/>
                <w:szCs w:val="12"/>
                <w:color w:val="0000FF"/>
              </w:rPr>
            </w:pPr>
            <w:hyperlink r:id="rId303">
              <w:r>
                <w:rPr>
                  <w:rFonts w:ascii="Times New Roman" w:cs="Times New Roman" w:eastAsia="Times New Roman" w:hAnsi="Times New Roman"/>
                  <w:sz w:val="12"/>
                  <w:szCs w:val="12"/>
                  <w:color w:val="0000FF"/>
                </w:rPr>
                <w:t>August 31, 2002, between CenterPoint 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303">
              <w:r>
                <w:rPr>
                  <w:rFonts w:ascii="Times New Roman" w:cs="Times New Roman" w:eastAsia="Times New Roman" w:hAnsi="Times New Roman"/>
                  <w:sz w:val="12"/>
                  <w:szCs w:val="12"/>
                  <w:color w:val="0000FF"/>
                </w:rPr>
                <w:t>Reliant Energy and JPMorgan Chase Bank</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03">
              <w:r>
                <w:rPr>
                  <w:rFonts w:ascii="Times New Roman" w:cs="Times New Roman" w:eastAsia="Times New Roman" w:hAnsi="Times New Roman"/>
                  <w:sz w:val="12"/>
                  <w:szCs w:val="12"/>
                  <w:color w:val="0000FF"/>
                </w:rPr>
                <w:t>(supplementing Exhibit 4(f)(1))</w:t>
              </w:r>
            </w:hyperlink>
          </w:p>
        </w:tc>
        <w:tc>
          <w:tcPr>
            <w:tcW w:w="560" w:type="dxa"/>
            <w:vAlign w:val="bottom"/>
            <w:tcBorders>
              <w:top w:val="single" w:sz="8" w:color="0000FF"/>
            </w:tcBorders>
            <w:gridSpan w:val="6"/>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4(f)(4)</w:t>
            </w:r>
          </w:p>
        </w:tc>
        <w:tc>
          <w:tcPr>
            <w:tcW w:w="292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4">
              <w:r>
                <w:rPr>
                  <w:rFonts w:ascii="Times New Roman" w:cs="Times New Roman" w:eastAsia="Times New Roman" w:hAnsi="Times New Roman"/>
                  <w:sz w:val="13"/>
                  <w:szCs w:val="13"/>
                  <w:color w:val="0000FF"/>
                </w:rPr>
                <w:t>Supplemental Indenture No. 3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04">
              <w:r>
                <w:rPr>
                  <w:rFonts w:ascii="Times New Roman" w:cs="Times New Roman" w:eastAsia="Times New Roman" w:hAnsi="Times New Roman"/>
                  <w:sz w:val="12"/>
                  <w:szCs w:val="12"/>
                  <w:color w:val="0000FF"/>
                </w:rPr>
                <w:t>December 28, 2005, between CenterPoint</w:t>
              </w:r>
            </w:hyperlink>
          </w:p>
        </w:tc>
        <w:tc>
          <w:tcPr>
            <w:tcW w:w="20" w:type="dxa"/>
            <w:vAlign w:val="bottom"/>
            <w:tcBorders>
              <w:bottom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7"/>
          </w:tcPr>
          <w:p>
            <w:pPr>
              <w:spacing w:after="0" w:line="107" w:lineRule="exact"/>
              <w:rPr>
                <w:rFonts w:ascii="Times New Roman" w:cs="Times New Roman" w:eastAsia="Times New Roman" w:hAnsi="Times New Roman"/>
                <w:sz w:val="12"/>
                <w:szCs w:val="12"/>
                <w:color w:val="0000FF"/>
              </w:rPr>
            </w:pPr>
            <w:hyperlink r:id="rId304">
              <w:r>
                <w:rPr>
                  <w:rFonts w:ascii="Times New Roman" w:cs="Times New Roman" w:eastAsia="Times New Roman" w:hAnsi="Times New Roman"/>
                  <w:sz w:val="12"/>
                  <w:szCs w:val="12"/>
                  <w:color w:val="0000FF"/>
                </w:rPr>
                <w:t>Energy, Reliant Energy and JPMorgan Chase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04">
              <w:r>
                <w:rPr>
                  <w:rFonts w:ascii="Times New Roman" w:cs="Times New Roman" w:eastAsia="Times New Roman" w:hAnsi="Times New Roman"/>
                  <w:sz w:val="12"/>
                  <w:szCs w:val="12"/>
                  <w:color w:val="0000FF"/>
                </w:rPr>
                <w:t>Bank (supplementing Exhibit 4(f)(1))</w:t>
              </w:r>
            </w:hyperlink>
          </w:p>
        </w:tc>
        <w:tc>
          <w:tcPr>
            <w:tcW w:w="380" w:type="dxa"/>
            <w:vAlign w:val="bottom"/>
            <w:tcBorders>
              <w:top w:val="single" w:sz="8" w:color="0000FF"/>
            </w:tcBorders>
            <w:gridSpan w:val="7"/>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4(g)(1)</w:t>
            </w:r>
          </w:p>
        </w:tc>
        <w:tc>
          <w:tcPr>
            <w:tcW w:w="292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5">
              <w:r>
                <w:rPr>
                  <w:rFonts w:ascii="Times New Roman" w:cs="Times New Roman" w:eastAsia="Times New Roman" w:hAnsi="Times New Roman"/>
                  <w:sz w:val="13"/>
                  <w:szCs w:val="13"/>
                  <w:color w:val="0000FF"/>
                </w:rPr>
                <w:t>Amended and Restated Indenture of Mortgage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05">
              <w:r>
                <w:rPr>
                  <w:rFonts w:ascii="Times New Roman" w:cs="Times New Roman" w:eastAsia="Times New Roman" w:hAnsi="Times New Roman"/>
                  <w:sz w:val="12"/>
                  <w:szCs w:val="12"/>
                  <w:color w:val="0000FF"/>
                </w:rPr>
                <w:t>and Deed of Trust dated as of January 1, 2023,</w:t>
              </w:r>
            </w:hyperlink>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gridSpan w:val="17"/>
          </w:tcPr>
          <w:p>
            <w:pPr>
              <w:spacing w:after="0" w:line="107" w:lineRule="exact"/>
              <w:rPr>
                <w:rFonts w:ascii="Times New Roman" w:cs="Times New Roman" w:eastAsia="Times New Roman" w:hAnsi="Times New Roman"/>
                <w:sz w:val="12"/>
                <w:szCs w:val="12"/>
                <w:color w:val="0000FF"/>
              </w:rPr>
            </w:pPr>
            <w:hyperlink r:id="rId305">
              <w:r>
                <w:rPr>
                  <w:rFonts w:ascii="Times New Roman" w:cs="Times New Roman" w:eastAsia="Times New Roman" w:hAnsi="Times New Roman"/>
                  <w:sz w:val="12"/>
                  <w:szCs w:val="12"/>
                  <w:color w:val="0000FF"/>
                </w:rPr>
                <w:t>between SIGECO and Deutsche Bank Trust</w:t>
              </w:r>
            </w:hyperlink>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05">
              <w:r>
                <w:rPr>
                  <w:rFonts w:ascii="Times New Roman" w:cs="Times New Roman" w:eastAsia="Times New Roman" w:hAnsi="Times New Roman"/>
                  <w:sz w:val="12"/>
                  <w:szCs w:val="12"/>
                  <w:color w:val="0000FF"/>
                </w:rPr>
                <w:t>Company Americas, as Trustee</w:t>
              </w:r>
            </w:hyperlink>
          </w:p>
        </w:tc>
        <w:tc>
          <w:tcPr>
            <w:tcW w:w="620" w:type="dxa"/>
            <w:vAlign w:val="bottom"/>
            <w:tcBorders>
              <w:top w:val="single" w:sz="8" w:color="0000FF"/>
            </w:tcBorders>
            <w:gridSpan w:val="8"/>
          </w:tcPr>
          <w:p>
            <w:pPr>
              <w:spacing w:after="0"/>
              <w:rPr>
                <w:sz w:val="9"/>
                <w:szCs w:val="9"/>
                <w:color w:val="auto"/>
              </w:rPr>
            </w:pPr>
          </w:p>
        </w:tc>
        <w:tc>
          <w:tcPr>
            <w:tcW w:w="220" w:type="dxa"/>
            <w:vAlign w:val="bottom"/>
            <w:gridSpan w:val="7"/>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4(g)(2)</w:t>
            </w:r>
          </w:p>
        </w:tc>
        <w:tc>
          <w:tcPr>
            <w:tcW w:w="292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6">
              <w:r>
                <w:rPr>
                  <w:rFonts w:ascii="Times New Roman" w:cs="Times New Roman" w:eastAsia="Times New Roman" w:hAnsi="Times New Roman"/>
                  <w:sz w:val="13"/>
                  <w:szCs w:val="13"/>
                  <w:color w:val="0000FF"/>
                </w:rPr>
                <w:t>First Supplemental Indenture to Exhibit 4(g)(1),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06">
              <w:r>
                <w:rPr>
                  <w:rFonts w:ascii="Times New Roman" w:cs="Times New Roman" w:eastAsia="Times New Roman" w:hAnsi="Times New Roman"/>
                  <w:sz w:val="12"/>
                  <w:szCs w:val="12"/>
                  <w:color w:val="0000FF"/>
                </w:rPr>
                <w:t>dated as of March 15, 2023</w:t>
              </w:r>
            </w:hyperlink>
          </w:p>
        </w:tc>
        <w:tc>
          <w:tcPr>
            <w:tcW w:w="112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4(g)(3)</w:t>
            </w:r>
          </w:p>
        </w:tc>
        <w:tc>
          <w:tcPr>
            <w:tcW w:w="292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7">
              <w:r>
                <w:rPr>
                  <w:rFonts w:ascii="Times New Roman" w:cs="Times New Roman" w:eastAsia="Times New Roman" w:hAnsi="Times New Roman"/>
                  <w:sz w:val="13"/>
                  <w:szCs w:val="13"/>
                  <w:color w:val="0000FF"/>
                </w:rPr>
                <w:t>Second Supplemental Indenture to Exhibit 4(g)</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307">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October 13, 2023</w:t>
              </w:r>
            </w:hyperlink>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4(g)(4)</w:t>
            </w:r>
          </w:p>
        </w:tc>
        <w:tc>
          <w:tcPr>
            <w:tcW w:w="292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8">
              <w:r>
                <w:rPr>
                  <w:rFonts w:ascii="Times New Roman" w:cs="Times New Roman" w:eastAsia="Times New Roman" w:hAnsi="Times New Roman"/>
                  <w:sz w:val="13"/>
                  <w:szCs w:val="13"/>
                  <w:color w:val="0000FF"/>
                </w:rPr>
                <w:t>Third Supplemental Indenture dated as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7"/>
          </w:tcPr>
          <w:p>
            <w:pPr>
              <w:spacing w:after="0" w:line="107" w:lineRule="exact"/>
              <w:rPr>
                <w:rFonts w:ascii="Times New Roman" w:cs="Times New Roman" w:eastAsia="Times New Roman" w:hAnsi="Times New Roman"/>
                <w:sz w:val="12"/>
                <w:szCs w:val="12"/>
                <w:color w:val="0000FF"/>
              </w:rPr>
            </w:pPr>
            <w:hyperlink r:id="rId308">
              <w:r>
                <w:rPr>
                  <w:rFonts w:ascii="Times New Roman" w:cs="Times New Roman" w:eastAsia="Times New Roman" w:hAnsi="Times New Roman"/>
                  <w:sz w:val="12"/>
                  <w:szCs w:val="12"/>
                  <w:color w:val="0000FF"/>
                </w:rPr>
                <w:t>August 29, 2024, between Southern Indiana Gas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308">
              <w:r>
                <w:rPr>
                  <w:rFonts w:ascii="Times New Roman" w:cs="Times New Roman" w:eastAsia="Times New Roman" w:hAnsi="Times New Roman"/>
                  <w:sz w:val="12"/>
                  <w:szCs w:val="12"/>
                  <w:color w:val="0000FF"/>
                </w:rPr>
                <w:t>and Electric Company and Deutsche Bank Trust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08">
              <w:r>
                <w:rPr>
                  <w:rFonts w:ascii="Times New Roman" w:cs="Times New Roman" w:eastAsia="Times New Roman" w:hAnsi="Times New Roman"/>
                  <w:sz w:val="12"/>
                  <w:szCs w:val="12"/>
                  <w:color w:val="0000FF"/>
                </w:rPr>
                <w:t>Company Americas, as Trustee</w:t>
              </w:r>
            </w:hyperlink>
          </w:p>
        </w:tc>
        <w:tc>
          <w:tcPr>
            <w:tcW w:w="940" w:type="dxa"/>
            <w:vAlign w:val="bottom"/>
            <w:tcBorders>
              <w:top w:val="single" w:sz="8" w:color="0000FF"/>
            </w:tcBorders>
            <w:gridSpan w:val="2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4(g)(5)</w:t>
            </w:r>
          </w:p>
        </w:tc>
        <w:tc>
          <w:tcPr>
            <w:tcW w:w="292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9">
              <w:r>
                <w:rPr>
                  <w:rFonts w:ascii="Times New Roman" w:cs="Times New Roman" w:eastAsia="Times New Roman" w:hAnsi="Times New Roman"/>
                  <w:sz w:val="13"/>
                  <w:szCs w:val="13"/>
                  <w:color w:val="0000FF"/>
                </w:rPr>
                <w:t>Fourth Supplemental Indenture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09">
              <w:r>
                <w:rPr>
                  <w:rFonts w:ascii="Times New Roman" w:cs="Times New Roman" w:eastAsia="Times New Roman" w:hAnsi="Times New Roman"/>
                  <w:sz w:val="12"/>
                  <w:szCs w:val="12"/>
                  <w:color w:val="0000FF"/>
                </w:rPr>
                <w:t>January 31, 2025, between Southern Indiana</w:t>
              </w:r>
            </w:hyperlink>
          </w:p>
        </w:tc>
        <w:tc>
          <w:tcPr>
            <w:tcW w:w="420" w:type="dxa"/>
            <w:vAlign w:val="bottom"/>
            <w:gridSpan w:val="16"/>
          </w:tcPr>
          <w:p>
            <w:pPr>
              <w:ind w:left="120"/>
              <w:spacing w:after="0" w:line="107" w:lineRule="exact"/>
              <w:rPr>
                <w:rFonts w:ascii="Times New Roman" w:cs="Times New Roman" w:eastAsia="Times New Roman" w:hAnsi="Times New Roman"/>
                <w:sz w:val="12"/>
                <w:szCs w:val="12"/>
                <w:color w:val="0000FF"/>
              </w:rPr>
            </w:pPr>
            <w:hyperlink r:id="rId309">
              <w:r>
                <w:rPr>
                  <w:rFonts w:ascii="Times New Roman" w:cs="Times New Roman" w:eastAsia="Times New Roman" w:hAnsi="Times New Roman"/>
                  <w:sz w:val="12"/>
                  <w:szCs w:val="12"/>
                  <w:color w:val="0000FF"/>
                </w:rPr>
                <w:t>Gas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309">
              <w:r>
                <w:rPr>
                  <w:rFonts w:ascii="Times New Roman" w:cs="Times New Roman" w:eastAsia="Times New Roman" w:hAnsi="Times New Roman"/>
                  <w:sz w:val="12"/>
                  <w:szCs w:val="12"/>
                  <w:color w:val="0000FF"/>
                </w:rPr>
                <w:t>and Electric Company and Deutsche Bank Trust</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09">
              <w:r>
                <w:rPr>
                  <w:rFonts w:ascii="Times New Roman" w:cs="Times New Roman" w:eastAsia="Times New Roman" w:hAnsi="Times New Roman"/>
                  <w:sz w:val="12"/>
                  <w:szCs w:val="12"/>
                  <w:color w:val="0000FF"/>
                </w:rPr>
                <w:t>Company Americas, as Trustee</w:t>
              </w:r>
            </w:hyperlink>
          </w:p>
        </w:tc>
        <w:tc>
          <w:tcPr>
            <w:tcW w:w="920" w:type="dxa"/>
            <w:vAlign w:val="bottom"/>
            <w:tcBorders>
              <w:top w:val="single" w:sz="8" w:color="0000FF"/>
            </w:tcBorders>
            <w:gridSpan w:val="19"/>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0">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2023</w:t>
      </w:r>
    </w:p>
    <w:p>
      <w:pPr>
        <w:spacing w:after="0" w:line="13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2024</w:t>
      </w:r>
    </w:p>
    <w:p>
      <w:pPr>
        <w:spacing w:after="0" w:line="1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2"/>
          <w:szCs w:val="12"/>
          <w:color w:val="auto"/>
        </w:rPr>
        <w:t>Reliant Energy’s Form 8-K dated September 1, 1999</w:t>
      </w:r>
    </w:p>
    <w:p>
      <w:pPr>
        <w:ind w:right="260"/>
        <w:spacing w:after="0" w:line="269" w:lineRule="auto"/>
        <w:rPr>
          <w:sz w:val="20"/>
          <w:szCs w:val="20"/>
          <w:color w:val="auto"/>
        </w:rPr>
      </w:pPr>
      <w:r>
        <w:rPr>
          <w:rFonts w:ascii="Times New Roman" w:cs="Times New Roman" w:eastAsia="Times New Roman" w:hAnsi="Times New Roman"/>
          <w:sz w:val="12"/>
          <w:szCs w:val="12"/>
          <w:color w:val="auto"/>
        </w:rPr>
        <w:t>Reliant Energy’s Form 8-K dated September 15, 1999</w:t>
      </w:r>
    </w:p>
    <w:p>
      <w:pPr>
        <w:spacing w:after="0" w:line="200" w:lineRule="exact"/>
        <w:rPr>
          <w:sz w:val="20"/>
          <w:szCs w:val="20"/>
          <w:color w:val="auto"/>
        </w:rPr>
      </w:pPr>
    </w:p>
    <w:p>
      <w:pPr>
        <w:spacing w:after="0" w:line="29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2"/>
          <w:szCs w:val="12"/>
          <w:color w:val="auto"/>
        </w:rPr>
        <w:t>CenterPoint Energy’s Form 8-K12B dated August 31, 2002</w:t>
      </w:r>
    </w:p>
    <w:p>
      <w:pPr>
        <w:spacing w:after="0" w:line="242"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2005</w:t>
      </w:r>
    </w:p>
    <w:p>
      <w:pPr>
        <w:spacing w:after="0" w:line="13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January 30, 2023</w:t>
      </w:r>
    </w:p>
    <w:p>
      <w:pPr>
        <w:spacing w:after="0" w:line="25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March 15, 2023</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October 13, 2023</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August 29, 2024</w:t>
      </w:r>
    </w:p>
    <w:p>
      <w:pPr>
        <w:spacing w:after="0" w:line="259"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13"/>
                <w:szCs w:val="13"/>
                <w:color w:val="auto"/>
              </w:rPr>
            </w:pPr>
          </w:p>
        </w:tc>
        <w:tc>
          <w:tcPr>
            <w:tcW w:w="10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6"/>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4(e)</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4(h)(4)</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4(g)(5)</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5" w:lineRule="exact"/>
        <w:rPr>
          <w:sz w:val="20"/>
          <w:szCs w:val="20"/>
          <w:color w:val="auto"/>
        </w:rPr>
      </w:pPr>
    </w:p>
    <w:p>
      <w:pPr>
        <w:sectPr>
          <w:pgSz w:w="11900" w:h="16838" w:orient="portrait"/>
          <w:cols w:equalWidth="0" w:num="3">
            <w:col w:w="4120" w:space="120"/>
            <w:col w:w="1640" w:space="120"/>
            <w:col w:w="5280"/>
          </w:cols>
          <w:pgMar w:left="300" w:top="747" w:right="31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5" w:name="page206"/>
    <w:bookmarkEnd w:id="205"/>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3"/>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7"/>
              </w:rPr>
              <w:t>4(g)(6)</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13"/>
          </w:tcPr>
          <w:p>
            <w:pPr>
              <w:spacing w:after="0" w:line="137" w:lineRule="exact"/>
              <w:rPr>
                <w:rFonts w:ascii="Times New Roman" w:cs="Times New Roman" w:eastAsia="Times New Roman" w:hAnsi="Times New Roman"/>
                <w:sz w:val="13"/>
                <w:szCs w:val="13"/>
                <w:color w:val="0000FF"/>
                <w:w w:val="99"/>
              </w:rPr>
            </w:pPr>
            <w:hyperlink r:id="rId312">
              <w:r>
                <w:rPr>
                  <w:rFonts w:ascii="Times New Roman" w:cs="Times New Roman" w:eastAsia="Times New Roman" w:hAnsi="Times New Roman"/>
                  <w:sz w:val="13"/>
                  <w:szCs w:val="13"/>
                  <w:color w:val="0000FF"/>
                  <w:w w:val="99"/>
                </w:rPr>
                <w:t>Fifth Supplemental Indenture dated as of July 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12">
              <w:r>
                <w:rPr>
                  <w:rFonts w:ascii="Times New Roman" w:cs="Times New Roman" w:eastAsia="Times New Roman" w:hAnsi="Times New Roman"/>
                  <w:sz w:val="12"/>
                  <w:szCs w:val="12"/>
                  <w:color w:val="0000FF"/>
                </w:rPr>
                <w:t>2025, between Southern Indiana Gas and</w:t>
              </w:r>
            </w:hyperlink>
          </w:p>
        </w:tc>
        <w:tc>
          <w:tcPr>
            <w:tcW w:w="36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13"/>
          </w:tcPr>
          <w:p>
            <w:pPr>
              <w:spacing w:after="0" w:line="107" w:lineRule="exact"/>
              <w:rPr>
                <w:rFonts w:ascii="Times New Roman" w:cs="Times New Roman" w:eastAsia="Times New Roman" w:hAnsi="Times New Roman"/>
                <w:sz w:val="12"/>
                <w:szCs w:val="12"/>
                <w:color w:val="0000FF"/>
              </w:rPr>
            </w:pPr>
            <w:hyperlink r:id="rId312">
              <w:r>
                <w:rPr>
                  <w:rFonts w:ascii="Times New Roman" w:cs="Times New Roman" w:eastAsia="Times New Roman" w:hAnsi="Times New Roman"/>
                  <w:sz w:val="12"/>
                  <w:szCs w:val="12"/>
                  <w:color w:val="0000FF"/>
                </w:rPr>
                <w:t>Electric Company and Deutsche Bank Trust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12">
              <w:r>
                <w:rPr>
                  <w:rFonts w:ascii="Times New Roman" w:cs="Times New Roman" w:eastAsia="Times New Roman" w:hAnsi="Times New Roman"/>
                  <w:sz w:val="12"/>
                  <w:szCs w:val="12"/>
                  <w:color w:val="0000FF"/>
                </w:rPr>
                <w:t>Company Americas, as Trustee</w:t>
              </w:r>
            </w:hyperlink>
          </w:p>
        </w:tc>
        <w:tc>
          <w:tcPr>
            <w:tcW w:w="640" w:type="dxa"/>
            <w:vAlign w:val="bottom"/>
            <w:tcBorders>
              <w:top w:val="single" w:sz="8" w:color="0000FF"/>
            </w:tcBorders>
            <w:gridSpan w:val="6"/>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4(g)(7)</w:t>
            </w:r>
          </w:p>
        </w:tc>
        <w:tc>
          <w:tcPr>
            <w:tcW w:w="2840" w:type="dxa"/>
            <w:vAlign w:val="bottom"/>
            <w:gridSpan w:val="15"/>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13">
              <w:r>
                <w:rPr>
                  <w:rFonts w:ascii="Times New Roman" w:cs="Times New Roman" w:eastAsia="Times New Roman" w:hAnsi="Times New Roman"/>
                  <w:sz w:val="13"/>
                  <w:szCs w:val="13"/>
                  <w:color w:val="0000FF"/>
                </w:rPr>
                <w:t>Sixth Supplemental Indenture,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13">
              <w:r>
                <w:rPr>
                  <w:rFonts w:ascii="Times New Roman" w:cs="Times New Roman" w:eastAsia="Times New Roman" w:hAnsi="Times New Roman"/>
                  <w:sz w:val="12"/>
                  <w:szCs w:val="12"/>
                  <w:color w:val="0000FF"/>
                </w:rPr>
                <w:t>October 1, 2025, between Southern Indiana</w:t>
              </w:r>
            </w:hyperlink>
          </w:p>
        </w:tc>
        <w:tc>
          <w:tcPr>
            <w:tcW w:w="380" w:type="dxa"/>
            <w:vAlign w:val="bottom"/>
            <w:gridSpan w:val="6"/>
          </w:tcPr>
          <w:p>
            <w:pPr>
              <w:jc w:val="right"/>
              <w:ind w:right="80"/>
              <w:spacing w:after="0" w:line="107" w:lineRule="exact"/>
              <w:rPr>
                <w:rFonts w:ascii="Times New Roman" w:cs="Times New Roman" w:eastAsia="Times New Roman" w:hAnsi="Times New Roman"/>
                <w:sz w:val="12"/>
                <w:szCs w:val="12"/>
                <w:color w:val="0000FF"/>
              </w:rPr>
            </w:pPr>
            <w:hyperlink r:id="rId313">
              <w:r>
                <w:rPr>
                  <w:rFonts w:ascii="Times New Roman" w:cs="Times New Roman" w:eastAsia="Times New Roman" w:hAnsi="Times New Roman"/>
                  <w:sz w:val="12"/>
                  <w:szCs w:val="12"/>
                  <w:color w:val="0000FF"/>
                </w:rPr>
                <w:t>Gas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13">
              <w:r>
                <w:rPr>
                  <w:rFonts w:ascii="Times New Roman" w:cs="Times New Roman" w:eastAsia="Times New Roman" w:hAnsi="Times New Roman"/>
                  <w:sz w:val="12"/>
                  <w:szCs w:val="12"/>
                  <w:color w:val="0000FF"/>
                </w:rPr>
                <w:t>and Electric Company and Deutsche Bank Trust</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tcBorders>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13">
              <w:r>
                <w:rPr>
                  <w:rFonts w:ascii="Times New Roman" w:cs="Times New Roman" w:eastAsia="Times New Roman" w:hAnsi="Times New Roman"/>
                  <w:sz w:val="12"/>
                  <w:szCs w:val="12"/>
                  <w:color w:val="0000FF"/>
                </w:rPr>
                <w:t>Company Americas, as Trustee</w:t>
              </w:r>
            </w:hyperlink>
          </w:p>
        </w:tc>
        <w:tc>
          <w:tcPr>
            <w:tcW w:w="8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7"/>
              </w:rPr>
              <w:t>4(g)(8)</w:t>
            </w:r>
          </w:p>
        </w:tc>
        <w:tc>
          <w:tcPr>
            <w:tcW w:w="2840" w:type="dxa"/>
            <w:vAlign w:val="bottom"/>
            <w:gridSpan w:val="15"/>
          </w:tcPr>
          <w:p>
            <w:pPr>
              <w:ind w:left="20"/>
              <w:spacing w:after="0" w:line="139" w:lineRule="exact"/>
              <w:rPr>
                <w:sz w:val="20"/>
                <w:szCs w:val="20"/>
                <w:color w:val="auto"/>
              </w:rPr>
            </w:pPr>
            <w:r>
              <w:rPr>
                <w:rFonts w:ascii="Times New Roman" w:cs="Times New Roman" w:eastAsia="Times New Roman" w:hAnsi="Times New Roman"/>
                <w:sz w:val="13"/>
                <w:szCs w:val="13"/>
                <w:color w:val="auto"/>
              </w:rPr>
              <w:t>—   Additional Supplemental Indentures to Exhibit</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4(g)(1)</w:t>
            </w:r>
          </w:p>
        </w:tc>
        <w:tc>
          <w:tcPr>
            <w:tcW w:w="0" w:type="dxa"/>
            <w:vAlign w:val="bottom"/>
          </w:tcPr>
          <w:p>
            <w:pPr>
              <w:spacing w:after="0"/>
              <w:rPr>
                <w:sz w:val="1"/>
                <w:szCs w:val="1"/>
                <w:color w:val="auto"/>
              </w:rPr>
            </w:pPr>
          </w:p>
        </w:tc>
      </w:tr>
      <w:tr>
        <w:trPr>
          <w:trHeight w:val="125"/>
        </w:trPr>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bottom w:val="single" w:sz="8" w:color="auto"/>
            </w:tcBorders>
            <w:gridSpan w:val="8"/>
          </w:tcPr>
          <w:p>
            <w:pPr>
              <w:jc w:val="right"/>
              <w:ind w:right="20"/>
              <w:spacing w:after="0" w:line="125" w:lineRule="exact"/>
              <w:rPr>
                <w:sz w:val="20"/>
                <w:szCs w:val="20"/>
                <w:color w:val="auto"/>
              </w:rPr>
            </w:pPr>
            <w:r>
              <w:rPr>
                <w:rFonts w:ascii="Times New Roman" w:cs="Times New Roman" w:eastAsia="Times New Roman" w:hAnsi="Times New Roman"/>
                <w:sz w:val="11"/>
                <w:szCs w:val="11"/>
                <w:b w:val="1"/>
                <w:bCs w:val="1"/>
                <w:color w:val="auto"/>
                <w:w w:val="94"/>
              </w:rPr>
              <w:t>Date as of</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0000FF"/>
            </w:tcBorders>
            <w:gridSpan w:val="9"/>
          </w:tcPr>
          <w:p>
            <w:pPr>
              <w:jc w:val="right"/>
              <w:ind w:right="20"/>
              <w:spacing w:after="0"/>
              <w:rPr>
                <w:rFonts w:ascii="Times New Roman" w:cs="Times New Roman" w:eastAsia="Times New Roman" w:hAnsi="Times New Roman"/>
                <w:sz w:val="13"/>
                <w:szCs w:val="13"/>
                <w:color w:val="0000FF"/>
              </w:rPr>
            </w:pPr>
            <w:hyperlink r:id="rId314">
              <w:r>
                <w:rPr>
                  <w:rFonts w:ascii="Times New Roman" w:cs="Times New Roman" w:eastAsia="Times New Roman" w:hAnsi="Times New Roman"/>
                  <w:sz w:val="13"/>
                  <w:szCs w:val="13"/>
                  <w:color w:val="0000FF"/>
                </w:rPr>
                <w:t>July 1, 1999</w:t>
              </w:r>
            </w:hyperlink>
          </w:p>
        </w:tc>
        <w:tc>
          <w:tcPr>
            <w:tcW w:w="0" w:type="dxa"/>
            <w:vAlign w:val="bottom"/>
          </w:tcPr>
          <w:p>
            <w:pPr>
              <w:spacing w:after="0"/>
              <w:rPr>
                <w:sz w:val="1"/>
                <w:szCs w:val="1"/>
                <w:color w:val="auto"/>
              </w:rPr>
            </w:pPr>
          </w:p>
        </w:tc>
      </w:tr>
      <w:tr>
        <w:trPr>
          <w:trHeight w:val="404"/>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0000FF"/>
            </w:tcBorders>
            <w:gridSpan w:val="10"/>
          </w:tcPr>
          <w:p>
            <w:pPr>
              <w:jc w:val="right"/>
              <w:ind w:right="20"/>
              <w:spacing w:after="0"/>
              <w:rPr>
                <w:rFonts w:ascii="Times New Roman" w:cs="Times New Roman" w:eastAsia="Times New Roman" w:hAnsi="Times New Roman"/>
                <w:sz w:val="13"/>
                <w:szCs w:val="13"/>
                <w:color w:val="0000FF"/>
                <w:w w:val="94"/>
              </w:rPr>
            </w:pPr>
            <w:hyperlink r:id="rId315">
              <w:r>
                <w:rPr>
                  <w:rFonts w:ascii="Times New Roman" w:cs="Times New Roman" w:eastAsia="Times New Roman" w:hAnsi="Times New Roman"/>
                  <w:sz w:val="13"/>
                  <w:szCs w:val="13"/>
                  <w:color w:val="0000FF"/>
                  <w:w w:val="94"/>
                </w:rPr>
                <w:t>April 1, 2013</w:t>
              </w:r>
            </w:hyperlink>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Borders>
              <w:bottom w:val="single" w:sz="8" w:color="0000FF"/>
            </w:tcBorders>
            <w:gridSpan w:val="12"/>
          </w:tcPr>
          <w:p>
            <w:pPr>
              <w:jc w:val="right"/>
              <w:ind w:right="20"/>
              <w:spacing w:after="0"/>
              <w:rPr>
                <w:rFonts w:ascii="Times New Roman" w:cs="Times New Roman" w:eastAsia="Times New Roman" w:hAnsi="Times New Roman"/>
                <w:sz w:val="13"/>
                <w:szCs w:val="13"/>
                <w:color w:val="0000FF"/>
                <w:w w:val="91"/>
              </w:rPr>
            </w:pPr>
            <w:hyperlink r:id="rId316">
              <w:r>
                <w:rPr>
                  <w:rFonts w:ascii="Times New Roman" w:cs="Times New Roman" w:eastAsia="Times New Roman" w:hAnsi="Times New Roman"/>
                  <w:sz w:val="13"/>
                  <w:szCs w:val="13"/>
                  <w:color w:val="0000FF"/>
                  <w:w w:val="91"/>
                </w:rPr>
                <w:t>September 1, 2014</w:t>
              </w:r>
            </w:hyperlink>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Borders>
              <w:bottom w:val="single" w:sz="8" w:color="0000FF"/>
            </w:tcBorders>
            <w:gridSpan w:val="12"/>
          </w:tcPr>
          <w:p>
            <w:pPr>
              <w:jc w:val="right"/>
              <w:ind w:right="20"/>
              <w:spacing w:after="0"/>
              <w:rPr>
                <w:rFonts w:ascii="Times New Roman" w:cs="Times New Roman" w:eastAsia="Times New Roman" w:hAnsi="Times New Roman"/>
                <w:sz w:val="13"/>
                <w:szCs w:val="13"/>
                <w:color w:val="0000FF"/>
                <w:w w:val="91"/>
              </w:rPr>
            </w:pPr>
            <w:hyperlink r:id="rId317">
              <w:r>
                <w:rPr>
                  <w:rFonts w:ascii="Times New Roman" w:cs="Times New Roman" w:eastAsia="Times New Roman" w:hAnsi="Times New Roman"/>
                  <w:sz w:val="13"/>
                  <w:szCs w:val="13"/>
                  <w:color w:val="0000FF"/>
                  <w:w w:val="91"/>
                </w:rPr>
                <w:t>September 1, 2015</w:t>
              </w:r>
            </w:hyperlink>
          </w:p>
        </w:tc>
        <w:tc>
          <w:tcPr>
            <w:tcW w:w="0" w:type="dxa"/>
            <w:vAlign w:val="bottom"/>
          </w:tcPr>
          <w:p>
            <w:pPr>
              <w:spacing w:after="0"/>
              <w:rPr>
                <w:sz w:val="1"/>
                <w:szCs w:val="1"/>
                <w:color w:val="auto"/>
              </w:rPr>
            </w:pPr>
          </w:p>
        </w:tc>
      </w:tr>
      <w:tr>
        <w:trPr>
          <w:trHeight w:val="266"/>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4(h)(1)</w:t>
            </w:r>
          </w:p>
        </w:tc>
        <w:tc>
          <w:tcPr>
            <w:tcW w:w="284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auto"/>
              </w:rPr>
              <w:t>—   Indenture dated February 1, 1991 between</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3"/>
          </w:tcPr>
          <w:p>
            <w:pPr>
              <w:spacing w:after="0" w:line="128" w:lineRule="exact"/>
              <w:rPr>
                <w:sz w:val="20"/>
                <w:szCs w:val="20"/>
                <w:color w:val="auto"/>
              </w:rPr>
            </w:pPr>
            <w:r>
              <w:rPr>
                <w:rFonts w:ascii="Times New Roman" w:cs="Times New Roman" w:eastAsia="Times New Roman" w:hAnsi="Times New Roman"/>
                <w:sz w:val="13"/>
                <w:szCs w:val="13"/>
                <w:color w:val="auto"/>
              </w:rPr>
              <w:t>Indiana Gas Company, Inc. and U.S Bank Trust</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3"/>
          </w:tcPr>
          <w:p>
            <w:pPr>
              <w:spacing w:after="0" w:line="128" w:lineRule="exact"/>
              <w:rPr>
                <w:sz w:val="20"/>
                <w:szCs w:val="20"/>
                <w:color w:val="auto"/>
              </w:rPr>
            </w:pPr>
            <w:r>
              <w:rPr>
                <w:rFonts w:ascii="Times New Roman" w:cs="Times New Roman" w:eastAsia="Times New Roman" w:hAnsi="Times New Roman"/>
                <w:sz w:val="13"/>
                <w:szCs w:val="13"/>
                <w:color w:val="auto"/>
              </w:rPr>
              <w:t>National Association (formerly known as First</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3"/>
          </w:tcPr>
          <w:p>
            <w:pPr>
              <w:spacing w:after="0" w:line="128" w:lineRule="exact"/>
              <w:rPr>
                <w:sz w:val="20"/>
                <w:szCs w:val="20"/>
                <w:color w:val="auto"/>
              </w:rPr>
            </w:pPr>
            <w:r>
              <w:rPr>
                <w:rFonts w:ascii="Times New Roman" w:cs="Times New Roman" w:eastAsia="Times New Roman" w:hAnsi="Times New Roman"/>
                <w:sz w:val="13"/>
                <w:szCs w:val="13"/>
                <w:color w:val="auto"/>
                <w:w w:val="99"/>
              </w:rPr>
              <w:t>Trust National Association, which was formerly</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3"/>
          </w:tcPr>
          <w:p>
            <w:pPr>
              <w:spacing w:after="0" w:line="128" w:lineRule="exact"/>
              <w:rPr>
                <w:sz w:val="20"/>
                <w:szCs w:val="20"/>
                <w:color w:val="auto"/>
              </w:rPr>
            </w:pPr>
            <w:r>
              <w:rPr>
                <w:rFonts w:ascii="Times New Roman" w:cs="Times New Roman" w:eastAsia="Times New Roman" w:hAnsi="Times New Roman"/>
                <w:sz w:val="13"/>
                <w:szCs w:val="13"/>
                <w:color w:val="auto"/>
              </w:rPr>
              <w:t>known as Bank of America Illinois, which was</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3"/>
          </w:tcPr>
          <w:p>
            <w:pPr>
              <w:spacing w:after="0" w:line="128" w:lineRule="exact"/>
              <w:rPr>
                <w:sz w:val="20"/>
                <w:szCs w:val="20"/>
                <w:color w:val="auto"/>
              </w:rPr>
            </w:pPr>
            <w:r>
              <w:rPr>
                <w:rFonts w:ascii="Times New Roman" w:cs="Times New Roman" w:eastAsia="Times New Roman" w:hAnsi="Times New Roman"/>
                <w:sz w:val="13"/>
                <w:szCs w:val="13"/>
                <w:color w:val="auto"/>
              </w:rPr>
              <w:t>formerly known as Continental Bank, National</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Association)</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4(h)(2)</w:t>
            </w:r>
          </w:p>
        </w:tc>
        <w:tc>
          <w:tcPr>
            <w:tcW w:w="2840" w:type="dxa"/>
            <w:vAlign w:val="bottom"/>
            <w:gridSpan w:val="15"/>
          </w:tcPr>
          <w:p>
            <w:pPr>
              <w:ind w:left="20"/>
              <w:spacing w:after="0" w:line="132" w:lineRule="exact"/>
              <w:rPr>
                <w:sz w:val="20"/>
                <w:szCs w:val="20"/>
                <w:color w:val="auto"/>
              </w:rPr>
            </w:pPr>
            <w:r>
              <w:rPr>
                <w:rFonts w:ascii="Times New Roman" w:cs="Times New Roman" w:eastAsia="Times New Roman" w:hAnsi="Times New Roman"/>
                <w:sz w:val="13"/>
                <w:szCs w:val="13"/>
                <w:color w:val="auto"/>
              </w:rPr>
              <w:t>—   First Supplemental Indenture to Exhibit 4(h)(1),</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dated as of February 15, 1991</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4(h)(3)</w:t>
            </w:r>
          </w:p>
        </w:tc>
        <w:tc>
          <w:tcPr>
            <w:tcW w:w="2840" w:type="dxa"/>
            <w:vAlign w:val="bottom"/>
            <w:gridSpan w:val="15"/>
          </w:tcPr>
          <w:p>
            <w:pPr>
              <w:ind w:left="20"/>
              <w:spacing w:after="0" w:line="132" w:lineRule="exact"/>
              <w:rPr>
                <w:sz w:val="20"/>
                <w:szCs w:val="20"/>
                <w:color w:val="auto"/>
              </w:rPr>
            </w:pPr>
            <w:r>
              <w:rPr>
                <w:rFonts w:ascii="Times New Roman" w:cs="Times New Roman" w:eastAsia="Times New Roman" w:hAnsi="Times New Roman"/>
                <w:sz w:val="13"/>
                <w:szCs w:val="13"/>
                <w:color w:val="auto"/>
              </w:rPr>
              <w:t>—   Second Supplemental Indenture to Exhibit 4(h)</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(1), dated as of September 15, 1991</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4(h)(4)</w:t>
            </w:r>
          </w:p>
        </w:tc>
        <w:tc>
          <w:tcPr>
            <w:tcW w:w="2840" w:type="dxa"/>
            <w:vAlign w:val="bottom"/>
            <w:gridSpan w:val="15"/>
          </w:tcPr>
          <w:p>
            <w:pPr>
              <w:ind w:left="20"/>
              <w:spacing w:after="0" w:line="132" w:lineRule="exact"/>
              <w:rPr>
                <w:sz w:val="20"/>
                <w:szCs w:val="20"/>
                <w:color w:val="auto"/>
              </w:rPr>
            </w:pPr>
            <w:r>
              <w:rPr>
                <w:rFonts w:ascii="Times New Roman" w:cs="Times New Roman" w:eastAsia="Times New Roman" w:hAnsi="Times New Roman"/>
                <w:sz w:val="13"/>
                <w:szCs w:val="13"/>
                <w:color w:val="auto"/>
              </w:rPr>
              <w:t>—   Third Supplemental Indenture to Exhibit 4(h)(1),</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dated as of September 15, 1991</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4(h)(5)</w:t>
            </w:r>
          </w:p>
        </w:tc>
        <w:tc>
          <w:tcPr>
            <w:tcW w:w="2840" w:type="dxa"/>
            <w:vAlign w:val="bottom"/>
            <w:gridSpan w:val="15"/>
          </w:tcPr>
          <w:p>
            <w:pPr>
              <w:ind w:left="20"/>
              <w:spacing w:after="0" w:line="132" w:lineRule="exact"/>
              <w:rPr>
                <w:sz w:val="20"/>
                <w:szCs w:val="20"/>
                <w:color w:val="auto"/>
              </w:rPr>
            </w:pPr>
            <w:r>
              <w:rPr>
                <w:rFonts w:ascii="Times New Roman" w:cs="Times New Roman" w:eastAsia="Times New Roman" w:hAnsi="Times New Roman"/>
                <w:sz w:val="13"/>
                <w:szCs w:val="13"/>
                <w:color w:val="auto"/>
              </w:rPr>
              <w:t>—   Fourth Supplemental Indenture to Exhibit 4(h)</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(1), dated as of December 2, 1992</w:t>
            </w:r>
          </w:p>
        </w:tc>
        <w:tc>
          <w:tcPr>
            <w:tcW w:w="0" w:type="dxa"/>
            <w:vAlign w:val="bottom"/>
          </w:tcPr>
          <w:p>
            <w:pPr>
              <w:spacing w:after="0"/>
              <w:rPr>
                <w:sz w:val="1"/>
                <w:szCs w:val="1"/>
                <w:color w:val="auto"/>
              </w:rPr>
            </w:pPr>
          </w:p>
        </w:tc>
      </w:tr>
      <w:tr>
        <w:trPr>
          <w:trHeight w:val="142"/>
        </w:trPr>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7"/>
              </w:rPr>
              <w:t>4(h)(6)</w:t>
            </w:r>
          </w:p>
        </w:tc>
        <w:tc>
          <w:tcPr>
            <w:tcW w:w="2840" w:type="dxa"/>
            <w:vAlign w:val="bottom"/>
            <w:gridSpan w:val="15"/>
          </w:tcPr>
          <w:p>
            <w:pPr>
              <w:ind w:left="2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18">
              <w:r>
                <w:rPr>
                  <w:rFonts w:ascii="Times New Roman" w:cs="Times New Roman" w:eastAsia="Times New Roman" w:hAnsi="Times New Roman"/>
                  <w:sz w:val="13"/>
                  <w:szCs w:val="13"/>
                  <w:color w:val="0000FF"/>
                </w:rPr>
                <w:t>Fifth Supplemental Indenture to Exhibit 4(h)(1),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18">
              <w:r>
                <w:rPr>
                  <w:rFonts w:ascii="Times New Roman" w:cs="Times New Roman" w:eastAsia="Times New Roman" w:hAnsi="Times New Roman"/>
                  <w:sz w:val="12"/>
                  <w:szCs w:val="12"/>
                  <w:color w:val="0000FF"/>
                </w:rPr>
                <w:t>dated as of December 28, 2000</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9">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28"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3"/>
          <w:szCs w:val="13"/>
          <w:color w:val="auto"/>
        </w:rPr>
        <w:t>CenterPoint Energy’s Form 8-K dated July 1, 2025</w:t>
      </w:r>
    </w:p>
    <w:p>
      <w:pPr>
        <w:spacing w:after="0" w:line="208"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3"/>
          <w:szCs w:val="13"/>
          <w:color w:val="auto"/>
        </w:rPr>
        <w:t>CenterPoint Energy’s Form 10-Q for the quarter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2025</w:t>
      </w:r>
    </w:p>
    <w:p>
      <w:pPr>
        <w:spacing w:after="0" w:line="381"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u w:val="single" w:color="auto"/>
          <w:color w:val="auto"/>
        </w:rPr>
        <w:t>File Reference</w:t>
      </w:r>
    </w:p>
    <w:p>
      <w:pPr>
        <w:spacing w:after="0" w:line="41" w:lineRule="exact"/>
        <w:rPr>
          <w:sz w:val="20"/>
          <w:szCs w:val="20"/>
          <w:color w:val="auto"/>
        </w:rPr>
      </w:pPr>
    </w:p>
    <w:p>
      <w:pPr>
        <w:jc w:val="both"/>
        <w:ind w:right="60"/>
        <w:spacing w:after="0" w:line="224" w:lineRule="auto"/>
        <w:rPr>
          <w:sz w:val="20"/>
          <w:szCs w:val="20"/>
          <w:color w:val="auto"/>
        </w:rPr>
      </w:pPr>
      <w:r>
        <w:rPr>
          <w:rFonts w:ascii="Times New Roman" w:cs="Times New Roman" w:eastAsia="Times New Roman" w:hAnsi="Times New Roman"/>
          <w:sz w:val="13"/>
          <w:szCs w:val="13"/>
          <w:color w:val="auto"/>
        </w:rPr>
        <w:t>1-3553, SIGECO’s Form 10-Q for the quarter ended June 30, 1999</w:t>
      </w:r>
    </w:p>
    <w:p>
      <w:pPr>
        <w:spacing w:after="0" w:line="6"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1-15467, Vectren’s Form 8-K dated April 30, 2013</w:t>
      </w:r>
    </w:p>
    <w:p>
      <w:pPr>
        <w:spacing w:after="0" w:line="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1-15467, Vectren’s Form 8-K dated September 25, 2014</w:t>
      </w:r>
    </w:p>
    <w:p>
      <w:pPr>
        <w:spacing w:after="0" w:line="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1-15467, Vectren’s Form 8-K dated September 10, 2015</w:t>
      </w:r>
    </w:p>
    <w:p>
      <w:pPr>
        <w:spacing w:after="0" w:line="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February 15, 1991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February 15, 1991</w:t>
      </w:r>
    </w:p>
    <w:p>
      <w:pPr>
        <w:spacing w:after="0" w:line="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September 25, 1991</w:t>
      </w:r>
    </w:p>
    <w:p>
      <w:pPr>
        <w:spacing w:after="0" w:line="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September 25, 1991</w:t>
      </w:r>
    </w:p>
    <w:p>
      <w:pPr>
        <w:spacing w:after="0" w:line="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December 8, 1992</w:t>
      </w:r>
    </w:p>
    <w:p>
      <w:pPr>
        <w:spacing w:after="0" w:line="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December 27, 2000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4"/>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20" w:type="dxa"/>
            <w:vAlign w:val="bottom"/>
            <w:tcBorders>
              <w:top w:val="single" w:sz="8" w:color="auto"/>
            </w:tcBorders>
            <w:gridSpan w:val="2"/>
          </w:tcPr>
          <w:p>
            <w:pPr>
              <w:jc w:val="center"/>
              <w:ind w:left="217"/>
              <w:spacing w:after="0"/>
              <w:rPr>
                <w:sz w:val="20"/>
                <w:szCs w:val="20"/>
                <w:color w:val="auto"/>
              </w:rPr>
            </w:pPr>
            <w:r>
              <w:rPr>
                <w:rFonts w:ascii="Times New Roman" w:cs="Times New Roman" w:eastAsia="Times New Roman" w:hAnsi="Times New Roman"/>
                <w:sz w:val="14"/>
                <w:szCs w:val="14"/>
                <w:color w:val="auto"/>
                <w:w w:val="98"/>
              </w:rPr>
              <w:t>1-31447</w:t>
            </w: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0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8"/>
        </w:trPr>
        <w:tc>
          <w:tcPr>
            <w:tcW w:w="820" w:type="dxa"/>
            <w:vAlign w:val="bottom"/>
            <w:gridSpan w:val="2"/>
          </w:tcPr>
          <w:p>
            <w:pPr>
              <w:jc w:val="center"/>
              <w:ind w:left="217"/>
              <w:spacing w:after="0"/>
              <w:rPr>
                <w:sz w:val="20"/>
                <w:szCs w:val="20"/>
                <w:color w:val="auto"/>
              </w:rPr>
            </w:pPr>
            <w:r>
              <w:rPr>
                <w:rFonts w:ascii="Times New Roman" w:cs="Times New Roman" w:eastAsia="Times New Roman" w:hAnsi="Times New Roman"/>
                <w:sz w:val="14"/>
                <w:szCs w:val="14"/>
                <w:color w:val="auto"/>
                <w:w w:val="98"/>
              </w:rPr>
              <w:t>1-31447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4(a)</w:t>
            </w:r>
          </w:p>
        </w:tc>
        <w:tc>
          <w:tcPr>
            <w:tcW w:w="38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820" w:type="dxa"/>
            <w:vAlign w:val="bottom"/>
            <w:gridSpan w:val="2"/>
          </w:tcPr>
          <w:p>
            <w:pPr>
              <w:jc w:val="center"/>
              <w:ind w:left="237"/>
              <w:spacing w:after="0"/>
              <w:rPr>
                <w:sz w:val="20"/>
                <w:szCs w:val="20"/>
                <w:color w:val="auto"/>
              </w:rPr>
            </w:pPr>
            <w:r>
              <w:rPr>
                <w:rFonts w:ascii="Times New Roman" w:cs="Times New Roman" w:eastAsia="Times New Roman" w:hAnsi="Times New Roman"/>
                <w:sz w:val="13"/>
                <w:szCs w:val="13"/>
                <w:color w:val="auto"/>
                <w:w w:val="98"/>
              </w:rPr>
              <w:t>4.1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 w:type="dxa"/>
            <w:vAlign w:val="bottom"/>
            <w:gridSpan w:val="2"/>
          </w:tcPr>
          <w:p>
            <w:pPr>
              <w:jc w:val="center"/>
              <w:ind w:left="237"/>
              <w:spacing w:after="0"/>
              <w:rPr>
                <w:sz w:val="20"/>
                <w:szCs w:val="20"/>
                <w:color w:val="auto"/>
              </w:rPr>
            </w:pPr>
            <w:r>
              <w:rPr>
                <w:rFonts w:ascii="Times New Roman" w:cs="Times New Roman" w:eastAsia="Times New Roman" w:hAnsi="Times New Roman"/>
                <w:sz w:val="13"/>
                <w:szCs w:val="13"/>
                <w:color w:val="auto"/>
                <w:w w:val="98"/>
              </w:rPr>
              <w:t>4.1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 w:type="dxa"/>
            <w:vAlign w:val="bottom"/>
            <w:gridSpan w:val="2"/>
          </w:tcPr>
          <w:p>
            <w:pPr>
              <w:jc w:val="center"/>
              <w:ind w:left="237"/>
              <w:spacing w:after="0"/>
              <w:rPr>
                <w:sz w:val="20"/>
                <w:szCs w:val="20"/>
                <w:color w:val="auto"/>
              </w:rPr>
            </w:pPr>
            <w:r>
              <w:rPr>
                <w:rFonts w:ascii="Times New Roman" w:cs="Times New Roman" w:eastAsia="Times New Roman" w:hAnsi="Times New Roman"/>
                <w:sz w:val="13"/>
                <w:szCs w:val="13"/>
                <w:color w:val="auto"/>
                <w:w w:val="98"/>
              </w:rPr>
              <w:t>4.1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 w:type="dxa"/>
            <w:vAlign w:val="bottom"/>
            <w:gridSpan w:val="2"/>
          </w:tcPr>
          <w:p>
            <w:pPr>
              <w:jc w:val="center"/>
              <w:ind w:left="237"/>
              <w:spacing w:after="0"/>
              <w:rPr>
                <w:sz w:val="20"/>
                <w:szCs w:val="20"/>
                <w:color w:val="auto"/>
              </w:rPr>
            </w:pPr>
            <w:r>
              <w:rPr>
                <w:rFonts w:ascii="Times New Roman" w:cs="Times New Roman" w:eastAsia="Times New Roman" w:hAnsi="Times New Roman"/>
                <w:sz w:val="13"/>
                <w:szCs w:val="13"/>
                <w:color w:val="auto"/>
                <w:w w:val="97"/>
              </w:rPr>
              <w:t>1-6494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4(a)</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380" w:type="dxa"/>
        <w:tblCellMar>
          <w:top w:w="0" w:type="dxa"/>
          <w:left w:w="0" w:type="dxa"/>
          <w:bottom w:w="0" w:type="dxa"/>
          <w:right w:w="0" w:type="dxa"/>
        </w:tblCellMar>
      </w:tblPr>
      <w:tr>
        <w:trPr>
          <w:trHeight w:val="165"/>
        </w:trPr>
        <w:tc>
          <w:tcPr>
            <w:tcW w:w="7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1-6494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4(b)</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7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1-6494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4(b)</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7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1-6494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4(c)</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7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1-6494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4(b)</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7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1-6494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327" w:lineRule="exact"/>
        <w:rPr>
          <w:sz w:val="20"/>
          <w:szCs w:val="20"/>
          <w:color w:val="auto"/>
        </w:rPr>
      </w:pPr>
    </w:p>
    <w:p>
      <w:pPr>
        <w:sectPr>
          <w:pgSz w:w="11900" w:h="16838" w:orient="portrait"/>
          <w:cols w:equalWidth="0" w:num="3">
            <w:col w:w="4120" w:space="120"/>
            <w:col w:w="1620" w:space="140"/>
            <w:col w:w="5280"/>
          </w:cols>
          <w:pgMar w:left="300" w:top="747" w:right="31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6" w:name="page207"/>
    <w:bookmarkEnd w:id="206"/>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40" w:type="dxa"/>
            <w:vAlign w:val="bottom"/>
            <w:gridSpan w:val="19"/>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1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4(i)(1)</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40" w:type="dxa"/>
            <w:vAlign w:val="bottom"/>
            <w:gridSpan w:val="20"/>
          </w:tcPr>
          <w:p>
            <w:pPr>
              <w:spacing w:after="0" w:line="137" w:lineRule="exact"/>
              <w:rPr>
                <w:rFonts w:ascii="Times New Roman" w:cs="Times New Roman" w:eastAsia="Times New Roman" w:hAnsi="Times New Roman"/>
                <w:sz w:val="13"/>
                <w:szCs w:val="13"/>
                <w:color w:val="0000FF"/>
                <w:w w:val="99"/>
              </w:rPr>
            </w:pPr>
            <w:hyperlink r:id="rId321">
              <w:r>
                <w:rPr>
                  <w:rFonts w:ascii="Times New Roman" w:cs="Times New Roman" w:eastAsia="Times New Roman" w:hAnsi="Times New Roman"/>
                  <w:sz w:val="13"/>
                  <w:szCs w:val="13"/>
                  <w:color w:val="0000FF"/>
                  <w:w w:val="99"/>
                </w:rPr>
                <w:t>Bond Purchase and Covenants Agreement,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bottom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321">
              <w:r>
                <w:rPr>
                  <w:rFonts w:ascii="Times New Roman" w:cs="Times New Roman" w:eastAsia="Times New Roman" w:hAnsi="Times New Roman"/>
                  <w:sz w:val="12"/>
                  <w:szCs w:val="12"/>
                  <w:color w:val="0000FF"/>
                </w:rPr>
                <w:t>September 14, 2017, between SIGECO and PNC</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19"/>
          </w:tcPr>
          <w:p>
            <w:pPr>
              <w:spacing w:after="0" w:line="107" w:lineRule="exact"/>
              <w:rPr>
                <w:rFonts w:ascii="Times New Roman" w:cs="Times New Roman" w:eastAsia="Times New Roman" w:hAnsi="Times New Roman"/>
                <w:sz w:val="12"/>
                <w:szCs w:val="12"/>
                <w:color w:val="0000FF"/>
              </w:rPr>
            </w:pPr>
            <w:hyperlink r:id="rId321">
              <w:r>
                <w:rPr>
                  <w:rFonts w:ascii="Times New Roman" w:cs="Times New Roman" w:eastAsia="Times New Roman" w:hAnsi="Times New Roman"/>
                  <w:sz w:val="12"/>
                  <w:szCs w:val="12"/>
                  <w:color w:val="0000FF"/>
                </w:rPr>
                <w:t>Bank, National Association</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4(i)(2)</w:t>
            </w:r>
          </w:p>
        </w:tc>
        <w:tc>
          <w:tcPr>
            <w:tcW w:w="286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2">
              <w:r>
                <w:rPr>
                  <w:rFonts w:ascii="Times New Roman" w:cs="Times New Roman" w:eastAsia="Times New Roman" w:hAnsi="Times New Roman"/>
                  <w:sz w:val="13"/>
                  <w:szCs w:val="13"/>
                  <w:color w:val="0000FF"/>
                </w:rPr>
                <w:t>Joinder and First Amendment to Exhibit 4(i)(1)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322">
              <w:r>
                <w:rPr>
                  <w:rFonts w:ascii="Times New Roman" w:cs="Times New Roman" w:eastAsia="Times New Roman" w:hAnsi="Times New Roman"/>
                  <w:sz w:val="12"/>
                  <w:szCs w:val="12"/>
                  <w:color w:val="0000FF"/>
                </w:rPr>
                <w:t>dated March 1, 2018 among SIGECO, the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0"/>
          </w:tcPr>
          <w:p>
            <w:pPr>
              <w:spacing w:after="0" w:line="107" w:lineRule="exact"/>
              <w:rPr>
                <w:rFonts w:ascii="Times New Roman" w:cs="Times New Roman" w:eastAsia="Times New Roman" w:hAnsi="Times New Roman"/>
                <w:sz w:val="12"/>
                <w:szCs w:val="12"/>
                <w:color w:val="0000FF"/>
              </w:rPr>
            </w:pPr>
            <w:hyperlink r:id="rId322">
              <w:r>
                <w:rPr>
                  <w:rFonts w:ascii="Times New Roman" w:cs="Times New Roman" w:eastAsia="Times New Roman" w:hAnsi="Times New Roman"/>
                  <w:sz w:val="12"/>
                  <w:szCs w:val="12"/>
                  <w:color w:val="0000FF"/>
                </w:rPr>
                <w:t>lenders party thereto and PNC Bank, National</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22">
              <w:r>
                <w:rPr>
                  <w:rFonts w:ascii="Times New Roman" w:cs="Times New Roman" w:eastAsia="Times New Roman" w:hAnsi="Times New Roman"/>
                  <w:sz w:val="12"/>
                  <w:szCs w:val="12"/>
                  <w:color w:val="0000FF"/>
                </w:rPr>
                <w:t>Association</w:t>
              </w:r>
            </w:hyperlink>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4(i)(3)</w:t>
            </w:r>
          </w:p>
        </w:tc>
        <w:tc>
          <w:tcPr>
            <w:tcW w:w="286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3">
              <w:r>
                <w:rPr>
                  <w:rFonts w:ascii="Times New Roman" w:cs="Times New Roman" w:eastAsia="Times New Roman" w:hAnsi="Times New Roman"/>
                  <w:sz w:val="13"/>
                  <w:szCs w:val="13"/>
                  <w:color w:val="0000FF"/>
                </w:rPr>
                <w:t>Second Amendment to Exhibit 4(i)(1) dated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0"/>
          </w:tcPr>
          <w:p>
            <w:pPr>
              <w:spacing w:after="0" w:line="107" w:lineRule="exact"/>
              <w:rPr>
                <w:rFonts w:ascii="Times New Roman" w:cs="Times New Roman" w:eastAsia="Times New Roman" w:hAnsi="Times New Roman"/>
                <w:sz w:val="12"/>
                <w:szCs w:val="12"/>
                <w:color w:val="0000FF"/>
              </w:rPr>
            </w:pPr>
            <w:hyperlink r:id="rId323">
              <w:r>
                <w:rPr>
                  <w:rFonts w:ascii="Times New Roman" w:cs="Times New Roman" w:eastAsia="Times New Roman" w:hAnsi="Times New Roman"/>
                  <w:sz w:val="12"/>
                  <w:szCs w:val="12"/>
                  <w:color w:val="0000FF"/>
                </w:rPr>
                <w:t>May 1, 2018 among SIGECO, the lenders party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23">
              <w:r>
                <w:rPr>
                  <w:rFonts w:ascii="Times New Roman" w:cs="Times New Roman" w:eastAsia="Times New Roman" w:hAnsi="Times New Roman"/>
                  <w:sz w:val="12"/>
                  <w:szCs w:val="12"/>
                  <w:color w:val="0000FF"/>
                </w:rPr>
                <w:t>thereto and PNC Bank, National Association</w:t>
              </w:r>
            </w:hyperlink>
          </w:p>
        </w:tc>
        <w:tc>
          <w:tcPr>
            <w:tcW w:w="16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4(i)(4)</w:t>
            </w:r>
          </w:p>
        </w:tc>
        <w:tc>
          <w:tcPr>
            <w:tcW w:w="286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4">
              <w:r>
                <w:rPr>
                  <w:rFonts w:ascii="Times New Roman" w:cs="Times New Roman" w:eastAsia="Times New Roman" w:hAnsi="Times New Roman"/>
                  <w:sz w:val="13"/>
                  <w:szCs w:val="13"/>
                  <w:color w:val="0000FF"/>
                </w:rPr>
                <w:t>Third Amendment to Exhibit 4(i)(1) dated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0"/>
          </w:tcPr>
          <w:p>
            <w:pPr>
              <w:spacing w:after="0" w:line="107" w:lineRule="exact"/>
              <w:rPr>
                <w:rFonts w:ascii="Times New Roman" w:cs="Times New Roman" w:eastAsia="Times New Roman" w:hAnsi="Times New Roman"/>
                <w:sz w:val="12"/>
                <w:szCs w:val="12"/>
                <w:color w:val="0000FF"/>
              </w:rPr>
            </w:pPr>
            <w:hyperlink r:id="rId324">
              <w:r>
                <w:rPr>
                  <w:rFonts w:ascii="Times New Roman" w:cs="Times New Roman" w:eastAsia="Times New Roman" w:hAnsi="Times New Roman"/>
                  <w:sz w:val="12"/>
                  <w:szCs w:val="12"/>
                  <w:color w:val="0000FF"/>
                </w:rPr>
                <w:t>December 7, 2022 among SIGECO, the lenders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324">
              <w:r>
                <w:rPr>
                  <w:rFonts w:ascii="Times New Roman" w:cs="Times New Roman" w:eastAsia="Times New Roman" w:hAnsi="Times New Roman"/>
                  <w:sz w:val="12"/>
                  <w:szCs w:val="12"/>
                  <w:color w:val="0000FF"/>
                </w:rPr>
                <w:t>party thereto and PNC Bank, National</w:t>
              </w:r>
            </w:hyperlink>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24">
              <w:r>
                <w:rPr>
                  <w:rFonts w:ascii="Times New Roman" w:cs="Times New Roman" w:eastAsia="Times New Roman" w:hAnsi="Times New Roman"/>
                  <w:sz w:val="12"/>
                  <w:szCs w:val="12"/>
                  <w:color w:val="0000FF"/>
                </w:rPr>
                <w:t>Association</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2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4(j)</w:t>
            </w:r>
          </w:p>
        </w:tc>
        <w:tc>
          <w:tcPr>
            <w:tcW w:w="286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5">
              <w:r>
                <w:rPr>
                  <w:rFonts w:ascii="Times New Roman" w:cs="Times New Roman" w:eastAsia="Times New Roman" w:hAnsi="Times New Roman"/>
                  <w:sz w:val="13"/>
                  <w:szCs w:val="13"/>
                  <w:color w:val="0000FF"/>
                </w:rPr>
                <w:t>The Note Purchase Agreement, dated as of May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27, 2022, between CERC and the Purchasers</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signatory thereto, in connection with the</w:t>
              </w:r>
            </w:hyperlink>
          </w:p>
        </w:tc>
        <w:tc>
          <w:tcPr>
            <w:tcW w:w="22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8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0"/>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 xml:space="preserve">issuance by CERC of </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40,000,000 aggregate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principal amount of CERC’s 4.36% Senior</w:t>
              </w:r>
            </w:hyperlink>
          </w:p>
        </w:tc>
        <w:tc>
          <w:tcPr>
            <w:tcW w:w="60" w:type="dxa"/>
            <w:vAlign w:val="bottom"/>
            <w:gridSpan w:val="2"/>
          </w:tcPr>
          <w:p>
            <w:pPr>
              <w:spacing w:after="0"/>
              <w:rPr>
                <w:sz w:val="9"/>
                <w:szCs w:val="9"/>
                <w:color w:val="auto"/>
              </w:rPr>
            </w:pPr>
          </w:p>
        </w:tc>
        <w:tc>
          <w:tcPr>
            <w:tcW w:w="18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Notes, Series B, due December 15, 2045</w:t>
              </w:r>
            </w:hyperlink>
          </w:p>
        </w:tc>
        <w:tc>
          <w:tcPr>
            <w:tcW w:w="4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gridSpan w:val="4"/>
          </w:tcPr>
          <w:p>
            <w:pPr>
              <w:spacing w:after="0"/>
              <w:rPr>
                <w:sz w:val="9"/>
                <w:szCs w:val="9"/>
                <w:color w:val="auto"/>
              </w:rPr>
            </w:pPr>
          </w:p>
        </w:tc>
        <w:tc>
          <w:tcPr>
            <w:tcW w:w="18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4(k)</w:t>
            </w:r>
          </w:p>
        </w:tc>
        <w:tc>
          <w:tcPr>
            <w:tcW w:w="286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6">
              <w:r>
                <w:rPr>
                  <w:rFonts w:ascii="Times New Roman" w:cs="Times New Roman" w:eastAsia="Times New Roman" w:hAnsi="Times New Roman"/>
                  <w:sz w:val="13"/>
                  <w:szCs w:val="13"/>
                  <w:color w:val="0000FF"/>
                </w:rPr>
                <w:t>The Note Purchase Agreement, dated as of May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326">
              <w:r>
                <w:rPr>
                  <w:rFonts w:ascii="Times New Roman" w:cs="Times New Roman" w:eastAsia="Times New Roman" w:hAnsi="Times New Roman"/>
                  <w:sz w:val="12"/>
                  <w:szCs w:val="12"/>
                  <w:color w:val="0000FF"/>
                </w:rPr>
                <w:t>27, 2022, between CERC and the Purchasers</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26">
              <w:r>
                <w:rPr>
                  <w:rFonts w:ascii="Times New Roman" w:cs="Times New Roman" w:eastAsia="Times New Roman" w:hAnsi="Times New Roman"/>
                  <w:sz w:val="12"/>
                  <w:szCs w:val="12"/>
                  <w:color w:val="0000FF"/>
                </w:rPr>
                <w:t>signatory thereto, in connection with the</w:t>
              </w:r>
            </w:hyperlink>
          </w:p>
        </w:tc>
        <w:tc>
          <w:tcPr>
            <w:tcW w:w="220" w:type="dxa"/>
            <w:vAlign w:val="bottom"/>
            <w:tcBorders>
              <w:top w:val="single" w:sz="8" w:color="0000FF"/>
            </w:tcBorders>
            <w:gridSpan w:val="4"/>
          </w:tcPr>
          <w:p>
            <w:pPr>
              <w:spacing w:after="0"/>
              <w:rPr>
                <w:sz w:val="9"/>
                <w:szCs w:val="9"/>
                <w:color w:val="auto"/>
              </w:rPr>
            </w:pPr>
          </w:p>
        </w:tc>
        <w:tc>
          <w:tcPr>
            <w:tcW w:w="80" w:type="dxa"/>
            <w:vAlign w:val="bottom"/>
            <w:gridSpan w:val="3"/>
          </w:tcPr>
          <w:p>
            <w:pPr>
              <w:spacing w:after="0"/>
              <w:rPr>
                <w:sz w:val="9"/>
                <w:szCs w:val="9"/>
                <w:color w:val="auto"/>
              </w:rPr>
            </w:pPr>
          </w:p>
        </w:tc>
        <w:tc>
          <w:tcPr>
            <w:tcW w:w="18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0"/>
          </w:tcPr>
          <w:p>
            <w:pPr>
              <w:spacing w:after="0" w:line="107" w:lineRule="exact"/>
              <w:rPr>
                <w:rFonts w:ascii="Times New Roman" w:cs="Times New Roman" w:eastAsia="Times New Roman" w:hAnsi="Times New Roman"/>
                <w:sz w:val="12"/>
                <w:szCs w:val="12"/>
                <w:color w:val="0000FF"/>
              </w:rPr>
            </w:pPr>
            <w:hyperlink r:id="rId326">
              <w:r>
                <w:rPr>
                  <w:rFonts w:ascii="Times New Roman" w:cs="Times New Roman" w:eastAsia="Times New Roman" w:hAnsi="Times New Roman"/>
                  <w:sz w:val="12"/>
                  <w:szCs w:val="12"/>
                  <w:color w:val="0000FF"/>
                </w:rPr>
                <w:t xml:space="preserve">issuance by CERC of </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10,000,000 aggregate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26">
              <w:r>
                <w:rPr>
                  <w:rFonts w:ascii="Times New Roman" w:cs="Times New Roman" w:eastAsia="Times New Roman" w:hAnsi="Times New Roman"/>
                  <w:sz w:val="12"/>
                  <w:szCs w:val="12"/>
                  <w:color w:val="0000FF"/>
                </w:rPr>
                <w:t>principal amount of CERC’s 4.25% Senior</w:t>
              </w:r>
            </w:hyperlink>
          </w:p>
        </w:tc>
        <w:tc>
          <w:tcPr>
            <w:tcW w:w="60" w:type="dxa"/>
            <w:vAlign w:val="bottom"/>
            <w:gridSpan w:val="2"/>
          </w:tcPr>
          <w:p>
            <w:pPr>
              <w:spacing w:after="0"/>
              <w:rPr>
                <w:sz w:val="9"/>
                <w:szCs w:val="9"/>
                <w:color w:val="auto"/>
              </w:rPr>
            </w:pPr>
          </w:p>
        </w:tc>
        <w:tc>
          <w:tcPr>
            <w:tcW w:w="18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26">
              <w:r>
                <w:rPr>
                  <w:rFonts w:ascii="Times New Roman" w:cs="Times New Roman" w:eastAsia="Times New Roman" w:hAnsi="Times New Roman"/>
                  <w:sz w:val="12"/>
                  <w:szCs w:val="12"/>
                  <w:color w:val="0000FF"/>
                </w:rPr>
                <w:t>Notes, Series B, due June 5, 2043</w:t>
              </w:r>
            </w:hyperlink>
          </w:p>
        </w:tc>
        <w:tc>
          <w:tcPr>
            <w:tcW w:w="460" w:type="dxa"/>
            <w:vAlign w:val="bottom"/>
            <w:tcBorders>
              <w:top w:val="single" w:sz="8" w:color="0000FF"/>
            </w:tcBorders>
            <w:gridSpan w:val="4"/>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gridSpan w:val="4"/>
          </w:tcPr>
          <w:p>
            <w:pPr>
              <w:spacing w:after="0"/>
              <w:rPr>
                <w:sz w:val="9"/>
                <w:szCs w:val="9"/>
                <w:color w:val="auto"/>
              </w:rPr>
            </w:pPr>
          </w:p>
        </w:tc>
        <w:tc>
          <w:tcPr>
            <w:tcW w:w="18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4(l)</w:t>
            </w:r>
          </w:p>
        </w:tc>
        <w:tc>
          <w:tcPr>
            <w:tcW w:w="286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7">
              <w:r>
                <w:rPr>
                  <w:rFonts w:ascii="Times New Roman" w:cs="Times New Roman" w:eastAsia="Times New Roman" w:hAnsi="Times New Roman"/>
                  <w:sz w:val="13"/>
                  <w:szCs w:val="13"/>
                  <w:color w:val="0000FF"/>
                </w:rPr>
                <w:t>The Note Purchase Agreement, dated as of May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327">
              <w:r>
                <w:rPr>
                  <w:rFonts w:ascii="Times New Roman" w:cs="Times New Roman" w:eastAsia="Times New Roman" w:hAnsi="Times New Roman"/>
                  <w:sz w:val="12"/>
                  <w:szCs w:val="12"/>
                  <w:color w:val="0000FF"/>
                </w:rPr>
                <w:t>27, 2022, between CERC and the Purchasers</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27">
              <w:r>
                <w:rPr>
                  <w:rFonts w:ascii="Times New Roman" w:cs="Times New Roman" w:eastAsia="Times New Roman" w:hAnsi="Times New Roman"/>
                  <w:sz w:val="12"/>
                  <w:szCs w:val="12"/>
                  <w:color w:val="0000FF"/>
                </w:rPr>
                <w:t>signatory thereto, in connection with the</w:t>
              </w:r>
            </w:hyperlink>
          </w:p>
        </w:tc>
        <w:tc>
          <w:tcPr>
            <w:tcW w:w="220" w:type="dxa"/>
            <w:vAlign w:val="bottom"/>
            <w:tcBorders>
              <w:top w:val="single" w:sz="8" w:color="0000FF"/>
            </w:tcBorders>
            <w:gridSpan w:val="4"/>
          </w:tcPr>
          <w:p>
            <w:pPr>
              <w:spacing w:after="0"/>
              <w:rPr>
                <w:sz w:val="9"/>
                <w:szCs w:val="9"/>
                <w:color w:val="auto"/>
              </w:rPr>
            </w:pPr>
          </w:p>
        </w:tc>
        <w:tc>
          <w:tcPr>
            <w:tcW w:w="80" w:type="dxa"/>
            <w:vAlign w:val="bottom"/>
            <w:gridSpan w:val="3"/>
          </w:tcPr>
          <w:p>
            <w:pPr>
              <w:spacing w:after="0"/>
              <w:rPr>
                <w:sz w:val="9"/>
                <w:szCs w:val="9"/>
                <w:color w:val="auto"/>
              </w:rPr>
            </w:pPr>
          </w:p>
        </w:tc>
        <w:tc>
          <w:tcPr>
            <w:tcW w:w="18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0"/>
          </w:tcPr>
          <w:p>
            <w:pPr>
              <w:spacing w:after="0" w:line="107" w:lineRule="exact"/>
              <w:rPr>
                <w:rFonts w:ascii="Times New Roman" w:cs="Times New Roman" w:eastAsia="Times New Roman" w:hAnsi="Times New Roman"/>
                <w:sz w:val="12"/>
                <w:szCs w:val="12"/>
                <w:color w:val="0000FF"/>
              </w:rPr>
            </w:pPr>
            <w:hyperlink r:id="rId327">
              <w:r>
                <w:rPr>
                  <w:rFonts w:ascii="Times New Roman" w:cs="Times New Roman" w:eastAsia="Times New Roman" w:hAnsi="Times New Roman"/>
                  <w:sz w:val="12"/>
                  <w:szCs w:val="12"/>
                  <w:color w:val="0000FF"/>
                </w:rPr>
                <w:t xml:space="preserve">issuance by CERC of </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100,000,000 aggregate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27">
              <w:r>
                <w:rPr>
                  <w:rFonts w:ascii="Times New Roman" w:cs="Times New Roman" w:eastAsia="Times New Roman" w:hAnsi="Times New Roman"/>
                  <w:sz w:val="12"/>
                  <w:szCs w:val="12"/>
                  <w:color w:val="0000FF"/>
                </w:rPr>
                <w:t>principal amount of CERC’s 5.00% Senior</w:t>
              </w:r>
            </w:hyperlink>
          </w:p>
        </w:tc>
        <w:tc>
          <w:tcPr>
            <w:tcW w:w="18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27">
              <w:r>
                <w:rPr>
                  <w:rFonts w:ascii="Times New Roman" w:cs="Times New Roman" w:eastAsia="Times New Roman" w:hAnsi="Times New Roman"/>
                  <w:sz w:val="12"/>
                  <w:szCs w:val="12"/>
                  <w:color w:val="0000FF"/>
                </w:rPr>
                <w:t>Notes, due February 3, 2042</w:t>
              </w:r>
            </w:hyperlink>
          </w:p>
        </w:tc>
        <w:tc>
          <w:tcPr>
            <w:tcW w:w="60" w:type="dxa"/>
            <w:vAlign w:val="bottom"/>
          </w:tcPr>
          <w:p>
            <w:pPr>
              <w:spacing w:after="0"/>
              <w:rPr>
                <w:sz w:val="9"/>
                <w:szCs w:val="9"/>
                <w:color w:val="auto"/>
              </w:rPr>
            </w:pPr>
          </w:p>
        </w:tc>
        <w:tc>
          <w:tcPr>
            <w:tcW w:w="30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4(m)</w:t>
            </w:r>
          </w:p>
        </w:tc>
        <w:tc>
          <w:tcPr>
            <w:tcW w:w="286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8">
              <w:r>
                <w:rPr>
                  <w:rFonts w:ascii="Times New Roman" w:cs="Times New Roman" w:eastAsia="Times New Roman" w:hAnsi="Times New Roman"/>
                  <w:sz w:val="13"/>
                  <w:szCs w:val="13"/>
                  <w:color w:val="0000FF"/>
                </w:rPr>
                <w:t>The Note Purchase Agreement, dated as of May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328">
              <w:r>
                <w:rPr>
                  <w:rFonts w:ascii="Times New Roman" w:cs="Times New Roman" w:eastAsia="Times New Roman" w:hAnsi="Times New Roman"/>
                  <w:sz w:val="12"/>
                  <w:szCs w:val="12"/>
                  <w:color w:val="0000FF"/>
                </w:rPr>
                <w:t>27, 2022, between CERC and the Purchasers</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28">
              <w:r>
                <w:rPr>
                  <w:rFonts w:ascii="Times New Roman" w:cs="Times New Roman" w:eastAsia="Times New Roman" w:hAnsi="Times New Roman"/>
                  <w:sz w:val="12"/>
                  <w:szCs w:val="12"/>
                  <w:color w:val="0000FF"/>
                </w:rPr>
                <w:t>signatory thereto, in connection with the</w:t>
              </w:r>
            </w:hyperlink>
          </w:p>
        </w:tc>
        <w:tc>
          <w:tcPr>
            <w:tcW w:w="220" w:type="dxa"/>
            <w:vAlign w:val="bottom"/>
            <w:tcBorders>
              <w:top w:val="single" w:sz="8" w:color="0000FF"/>
            </w:tcBorders>
            <w:gridSpan w:val="4"/>
          </w:tcPr>
          <w:p>
            <w:pPr>
              <w:spacing w:after="0"/>
              <w:rPr>
                <w:sz w:val="9"/>
                <w:szCs w:val="9"/>
                <w:color w:val="auto"/>
              </w:rPr>
            </w:pPr>
          </w:p>
        </w:tc>
        <w:tc>
          <w:tcPr>
            <w:tcW w:w="260" w:type="dxa"/>
            <w:vAlign w:val="bottom"/>
            <w:gridSpan w:val="10"/>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0"/>
          </w:tcPr>
          <w:p>
            <w:pPr>
              <w:spacing w:after="0" w:line="107" w:lineRule="exact"/>
              <w:rPr>
                <w:rFonts w:ascii="Times New Roman" w:cs="Times New Roman" w:eastAsia="Times New Roman" w:hAnsi="Times New Roman"/>
                <w:sz w:val="12"/>
                <w:szCs w:val="12"/>
                <w:color w:val="0000FF"/>
              </w:rPr>
            </w:pPr>
            <w:hyperlink r:id="rId328">
              <w:r>
                <w:rPr>
                  <w:rFonts w:ascii="Times New Roman" w:cs="Times New Roman" w:eastAsia="Times New Roman" w:hAnsi="Times New Roman"/>
                  <w:sz w:val="12"/>
                  <w:szCs w:val="12"/>
                  <w:color w:val="0000FF"/>
                </w:rPr>
                <w:t xml:space="preserve">issuance by CERC of </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60,000,000 aggregate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28">
              <w:r>
                <w:rPr>
                  <w:rFonts w:ascii="Times New Roman" w:cs="Times New Roman" w:eastAsia="Times New Roman" w:hAnsi="Times New Roman"/>
                  <w:sz w:val="12"/>
                  <w:szCs w:val="12"/>
                  <w:color w:val="0000FF"/>
                </w:rPr>
                <w:t>principal amount of CERC’s 5.02% Senior</w:t>
              </w:r>
            </w:hyperlink>
          </w:p>
        </w:tc>
        <w:tc>
          <w:tcPr>
            <w:tcW w:w="60" w:type="dxa"/>
            <w:vAlign w:val="bottom"/>
            <w:tcBorders>
              <w:top w:val="single" w:sz="8" w:color="0000FF"/>
            </w:tcBorders>
            <w:gridSpan w:val="2"/>
          </w:tcPr>
          <w:p>
            <w:pPr>
              <w:spacing w:after="0"/>
              <w:rPr>
                <w:sz w:val="9"/>
                <w:szCs w:val="9"/>
                <w:color w:val="auto"/>
              </w:rPr>
            </w:pPr>
          </w:p>
        </w:tc>
        <w:tc>
          <w:tcPr>
            <w:tcW w:w="24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0"/>
          </w:tcPr>
          <w:p>
            <w:pPr>
              <w:spacing w:after="0" w:line="111" w:lineRule="exact"/>
              <w:rPr>
                <w:rFonts w:ascii="Times New Roman" w:cs="Times New Roman" w:eastAsia="Times New Roman" w:hAnsi="Times New Roman"/>
                <w:sz w:val="12"/>
                <w:szCs w:val="12"/>
                <w:u w:val="single" w:color="auto"/>
                <w:color w:val="0000FF"/>
              </w:rPr>
            </w:pPr>
            <w:hyperlink r:id="rId328">
              <w:r>
                <w:rPr>
                  <w:rFonts w:ascii="Times New Roman" w:cs="Times New Roman" w:eastAsia="Times New Roman" w:hAnsi="Times New Roman"/>
                  <w:sz w:val="12"/>
                  <w:szCs w:val="12"/>
                  <w:u w:val="single" w:color="auto"/>
                  <w:color w:val="0000FF"/>
                </w:rPr>
                <w:t>Notes, Series B, due November 30, 2026 and</w:t>
              </w:r>
            </w:hyperlink>
          </w:p>
        </w:tc>
        <w:tc>
          <w:tcPr>
            <w:tcW w:w="0" w:type="dxa"/>
            <w:vAlign w:val="bottom"/>
          </w:tcPr>
          <w:p>
            <w:pPr>
              <w:spacing w:after="0"/>
              <w:rPr>
                <w:sz w:val="1"/>
                <w:szCs w:val="1"/>
                <w:color w:val="auto"/>
              </w:rPr>
            </w:pPr>
          </w:p>
        </w:tc>
      </w:tr>
    </w:tbl>
    <w:p>
      <w:pPr>
        <w:jc w:val="both"/>
        <w:ind w:left="1600" w:right="300"/>
        <w:spacing w:after="0" w:line="217" w:lineRule="auto"/>
        <w:rPr>
          <w:rFonts w:ascii="Times New Roman" w:cs="Times New Roman" w:eastAsia="Times New Roman" w:hAnsi="Times New Roman"/>
          <w:sz w:val="13"/>
          <w:szCs w:val="13"/>
          <w:u w:val="single" w:color="auto"/>
          <w:color w:val="0000FF"/>
        </w:rPr>
      </w:pPr>
      <w:hyperlink r:id="rId328">
        <w:r>
          <w:rPr>
            <w:rFonts w:ascii="Times New Roman" w:cs="Times New Roman" w:eastAsia="Times New Roman" w:hAnsi="Times New Roman"/>
            <w:sz w:val="13"/>
            <w:szCs w:val="13"/>
            <w:u w:val="single" w:color="auto"/>
            <w:color w:val="0000FF"/>
          </w:rPr>
          <w:t>$35,000,000 aggregate principal amount of</w:t>
        </w:r>
      </w:hyperlink>
      <w:r>
        <w:rPr>
          <w:rFonts w:ascii="Times New Roman" w:cs="Times New Roman" w:eastAsia="Times New Roman" w:hAnsi="Times New Roman"/>
          <w:sz w:val="13"/>
          <w:szCs w:val="13"/>
          <w:u w:val="single" w:color="auto"/>
          <w:color w:val="0000FF"/>
        </w:rPr>
        <w:t xml:space="preserve"> </w:t>
      </w:r>
      <w:hyperlink r:id="rId328">
        <w:r>
          <w:rPr>
            <w:rFonts w:ascii="Times New Roman" w:cs="Times New Roman" w:eastAsia="Times New Roman" w:hAnsi="Times New Roman"/>
            <w:sz w:val="13"/>
            <w:szCs w:val="13"/>
            <w:u w:val="single" w:color="auto"/>
            <w:color w:val="0000FF"/>
          </w:rPr>
          <w:t>CERC’s 5.99% Senior Notes, Series C, due</w:t>
        </w:r>
      </w:hyperlink>
      <w:r>
        <w:rPr>
          <w:rFonts w:ascii="Times New Roman" w:cs="Times New Roman" w:eastAsia="Times New Roman" w:hAnsi="Times New Roman"/>
          <w:sz w:val="13"/>
          <w:szCs w:val="13"/>
          <w:u w:val="single" w:color="auto"/>
          <w:color w:val="0000FF"/>
        </w:rPr>
        <w:t xml:space="preserve"> </w:t>
      </w:r>
      <w:hyperlink r:id="rId328">
        <w:r>
          <w:rPr>
            <w:rFonts w:ascii="Times New Roman" w:cs="Times New Roman" w:eastAsia="Times New Roman" w:hAnsi="Times New Roman"/>
            <w:sz w:val="13"/>
            <w:szCs w:val="13"/>
            <w:u w:val="single" w:color="auto"/>
            <w:color w:val="0000FF"/>
          </w:rPr>
          <w:t>November 30, 2041</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rPr>
              <w:t>Vectren’s Form 8-K dated</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1-15467</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10"/>
                <w:szCs w:val="10"/>
                <w:color w:val="auto"/>
              </w:rPr>
            </w:pPr>
          </w:p>
        </w:tc>
        <w:tc>
          <w:tcPr>
            <w:tcW w:w="1060" w:type="dxa"/>
            <w:vAlign w:val="bottom"/>
            <w:tcBorders>
              <w:top w:val="single" w:sz="8" w:color="auto"/>
            </w:tcBorders>
          </w:tcPr>
          <w:p>
            <w:pPr>
              <w:ind w:left="480"/>
              <w:spacing w:after="0" w:line="123" w:lineRule="exact"/>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September 25, 2017</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Vectren’s Form 8-K dated May</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1-15467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2"/>
                <w:szCs w:val="22"/>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3, 2018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Vectren’s Form 8-K dated May</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1-15467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3, 2018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4(k)(4)</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K for the year ended December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31, 2022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2"/>
                <w:szCs w:val="22"/>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May 27,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May 27,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May 27,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May 27,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90" w:lineRule="exact"/>
        <w:rPr>
          <w:rFonts w:ascii="Times New Roman" w:cs="Times New Roman" w:eastAsia="Times New Roman" w:hAnsi="Times New Roman"/>
          <w:sz w:val="13"/>
          <w:szCs w:val="13"/>
          <w:u w:val="single" w:color="auto"/>
          <w:color w:val="0000FF"/>
        </w:rPr>
      </w:pPr>
    </w:p>
    <w:p>
      <w:pPr>
        <w:sectPr>
          <w:pgSz w:w="11900" w:h="16838" w:orient="portrait"/>
          <w:cols w:equalWidth="0" w:num="2">
            <w:col w:w="4120" w:space="100"/>
            <w:col w:w="7060"/>
          </w:cols>
          <w:pgMar w:left="300" w:top="747" w:right="319" w:bottom="1440" w:gutter="0" w:footer="0" w:header="0"/>
        </w:sectPr>
      </w:pPr>
    </w:p>
    <w:p>
      <w:pPr>
        <w:spacing w:after="0" w:line="300" w:lineRule="exact"/>
        <w:rPr>
          <w:rFonts w:ascii="Times New Roman" w:cs="Times New Roman" w:eastAsia="Times New Roman" w:hAnsi="Times New Roman"/>
          <w:sz w:val="13"/>
          <w:szCs w:val="13"/>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7" w:name="page208"/>
    <w:bookmarkEnd w:id="207"/>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29"/>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4(n)</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200" w:type="dxa"/>
            <w:vAlign w:val="bottom"/>
            <w:tcBorders>
              <w:bottom w:val="single" w:sz="8" w:color="0000FF"/>
            </w:tcBorders>
            <w:gridSpan w:val="13"/>
          </w:tcPr>
          <w:p>
            <w:pPr>
              <w:spacing w:after="0" w:line="137" w:lineRule="exact"/>
              <w:rPr>
                <w:rFonts w:ascii="Times New Roman" w:cs="Times New Roman" w:eastAsia="Times New Roman" w:hAnsi="Times New Roman"/>
                <w:sz w:val="13"/>
                <w:szCs w:val="13"/>
                <w:color w:val="0000FF"/>
                <w:w w:val="97"/>
              </w:rPr>
            </w:pPr>
            <w:hyperlink r:id="rId330">
              <w:r>
                <w:rPr>
                  <w:rFonts w:ascii="Times New Roman" w:cs="Times New Roman" w:eastAsia="Times New Roman" w:hAnsi="Times New Roman"/>
                  <w:sz w:val="13"/>
                  <w:szCs w:val="13"/>
                  <w:color w:val="0000FF"/>
                  <w:w w:val="97"/>
                </w:rPr>
                <w:t>Registration Rights Agreement, dated as of</w:t>
              </w:r>
            </w:hyperlink>
          </w:p>
        </w:tc>
        <w:tc>
          <w:tcPr>
            <w:tcW w:w="480" w:type="dxa"/>
            <w:vAlign w:val="bottom"/>
            <w:gridSpan w:val="18"/>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gridSpan w:val="31"/>
          </w:tcPr>
          <w:p>
            <w:pPr>
              <w:spacing w:after="0" w:line="107" w:lineRule="exact"/>
              <w:rPr>
                <w:rFonts w:ascii="Times New Roman" w:cs="Times New Roman" w:eastAsia="Times New Roman" w:hAnsi="Times New Roman"/>
                <w:sz w:val="12"/>
                <w:szCs w:val="12"/>
                <w:color w:val="0000FF"/>
              </w:rPr>
            </w:pPr>
            <w:hyperlink r:id="rId330">
              <w:r>
                <w:rPr>
                  <w:rFonts w:ascii="Times New Roman" w:cs="Times New Roman" w:eastAsia="Times New Roman" w:hAnsi="Times New Roman"/>
                  <w:sz w:val="12"/>
                  <w:szCs w:val="12"/>
                  <w:color w:val="0000FF"/>
                </w:rPr>
                <w:t>October 5, 2022, between CenterPoint Energy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tcBorders>
              <w:bottom w:val="single" w:sz="8" w:color="0000FF"/>
            </w:tcBorders>
            <w:gridSpan w:val="31"/>
          </w:tcPr>
          <w:p>
            <w:pPr>
              <w:spacing w:after="0" w:line="107" w:lineRule="exact"/>
              <w:rPr>
                <w:rFonts w:ascii="Times New Roman" w:cs="Times New Roman" w:eastAsia="Times New Roman" w:hAnsi="Times New Roman"/>
                <w:sz w:val="12"/>
                <w:szCs w:val="12"/>
                <w:color w:val="0000FF"/>
              </w:rPr>
            </w:pPr>
            <w:hyperlink r:id="rId330">
              <w:r>
                <w:rPr>
                  <w:rFonts w:ascii="Times New Roman" w:cs="Times New Roman" w:eastAsia="Times New Roman" w:hAnsi="Times New Roman"/>
                  <w:sz w:val="12"/>
                  <w:szCs w:val="12"/>
                  <w:color w:val="0000FF"/>
                </w:rPr>
                <w:t>Resources Corp. and Goldman Sachs &amp; Co. LLC</w:t>
              </w:r>
            </w:hyperlink>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4(o)</w:t>
            </w:r>
          </w:p>
        </w:tc>
        <w:tc>
          <w:tcPr>
            <w:tcW w:w="3000" w:type="dxa"/>
            <w:vAlign w:val="bottom"/>
            <w:gridSpan w:val="3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1">
              <w:r>
                <w:rPr>
                  <w:rFonts w:ascii="Times New Roman" w:cs="Times New Roman" w:eastAsia="Times New Roman" w:hAnsi="Times New Roman"/>
                  <w:sz w:val="13"/>
                  <w:szCs w:val="13"/>
                  <w:color w:val="0000FF"/>
                </w:rPr>
                <w:t>Indenture dated as of August 4, 2023, between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bottom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331">
              <w:r>
                <w:rPr>
                  <w:rFonts w:ascii="Times New Roman" w:cs="Times New Roman" w:eastAsia="Times New Roman" w:hAnsi="Times New Roman"/>
                  <w:sz w:val="12"/>
                  <w:szCs w:val="12"/>
                  <w:color w:val="0000FF"/>
                </w:rPr>
                <w:t>CenterPoint Energy and The Bank of New York</w:t>
              </w:r>
            </w:hyperlink>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gridSpan w:val="31"/>
          </w:tcPr>
          <w:p>
            <w:pPr>
              <w:spacing w:after="0" w:line="107" w:lineRule="exact"/>
              <w:rPr>
                <w:rFonts w:ascii="Times New Roman" w:cs="Times New Roman" w:eastAsia="Times New Roman" w:hAnsi="Times New Roman"/>
                <w:sz w:val="12"/>
                <w:szCs w:val="12"/>
                <w:color w:val="0000FF"/>
              </w:rPr>
            </w:pPr>
            <w:hyperlink r:id="rId331">
              <w:r>
                <w:rPr>
                  <w:rFonts w:ascii="Times New Roman" w:cs="Times New Roman" w:eastAsia="Times New Roman" w:hAnsi="Times New Roman"/>
                  <w:sz w:val="12"/>
                  <w:szCs w:val="12"/>
                  <w:color w:val="0000FF"/>
                </w:rPr>
                <w:t>Mellon Trust Company, National Association,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31">
              <w:r>
                <w:rPr>
                  <w:rFonts w:ascii="Times New Roman" w:cs="Times New Roman" w:eastAsia="Times New Roman" w:hAnsi="Times New Roman"/>
                  <w:sz w:val="12"/>
                  <w:szCs w:val="12"/>
                  <w:color w:val="0000FF"/>
                  <w:w w:val="99"/>
                </w:rPr>
                <w:t>trustee</w:t>
              </w:r>
            </w:hyperlink>
          </w:p>
        </w:tc>
        <w:tc>
          <w:tcPr>
            <w:tcW w:w="2260" w:type="dxa"/>
            <w:vAlign w:val="bottom"/>
            <w:tcBorders>
              <w:top w:val="single" w:sz="8" w:color="0000FF"/>
            </w:tcBorders>
            <w:gridSpan w:val="2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4(p)(1)</w:t>
            </w:r>
          </w:p>
        </w:tc>
        <w:tc>
          <w:tcPr>
            <w:tcW w:w="3000" w:type="dxa"/>
            <w:vAlign w:val="bottom"/>
            <w:gridSpan w:val="3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2">
              <w:r>
                <w:rPr>
                  <w:rFonts w:ascii="Times New Roman" w:cs="Times New Roman" w:eastAsia="Times New Roman" w:hAnsi="Times New Roman"/>
                  <w:sz w:val="13"/>
                  <w:szCs w:val="13"/>
                  <w:color w:val="0000FF"/>
                </w:rPr>
                <w:t>Junior Subordinated Indenture, dated as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gridSpan w:val="31"/>
          </w:tcPr>
          <w:p>
            <w:pPr>
              <w:spacing w:after="0" w:line="107" w:lineRule="exact"/>
              <w:rPr>
                <w:rFonts w:ascii="Times New Roman" w:cs="Times New Roman" w:eastAsia="Times New Roman" w:hAnsi="Times New Roman"/>
                <w:sz w:val="12"/>
                <w:szCs w:val="12"/>
                <w:color w:val="0000FF"/>
              </w:rPr>
            </w:pPr>
            <w:hyperlink r:id="rId332">
              <w:r>
                <w:rPr>
                  <w:rFonts w:ascii="Times New Roman" w:cs="Times New Roman" w:eastAsia="Times New Roman" w:hAnsi="Times New Roman"/>
                  <w:sz w:val="12"/>
                  <w:szCs w:val="12"/>
                  <w:color w:val="0000FF"/>
                </w:rPr>
                <w:t>August 14, 2024, between CenterPoint 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332">
              <w:r>
                <w:rPr>
                  <w:rFonts w:ascii="Times New Roman" w:cs="Times New Roman" w:eastAsia="Times New Roman" w:hAnsi="Times New Roman"/>
                  <w:sz w:val="12"/>
                  <w:szCs w:val="12"/>
                  <w:color w:val="0000FF"/>
                </w:rPr>
                <w:t>Inc. and The Bank of New York Mellon Trust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32">
              <w:r>
                <w:rPr>
                  <w:rFonts w:ascii="Times New Roman" w:cs="Times New Roman" w:eastAsia="Times New Roman" w:hAnsi="Times New Roman"/>
                  <w:sz w:val="12"/>
                  <w:szCs w:val="12"/>
                  <w:color w:val="0000FF"/>
                </w:rPr>
                <w:t>Company, National Association, as trustee</w:t>
              </w:r>
            </w:hyperlink>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4(p)(2)</w:t>
            </w:r>
          </w:p>
        </w:tc>
        <w:tc>
          <w:tcPr>
            <w:tcW w:w="3000" w:type="dxa"/>
            <w:vAlign w:val="bottom"/>
            <w:gridSpan w:val="3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3">
              <w:r>
                <w:rPr>
                  <w:rFonts w:ascii="Times New Roman" w:cs="Times New Roman" w:eastAsia="Times New Roman" w:hAnsi="Times New Roman"/>
                  <w:sz w:val="13"/>
                  <w:szCs w:val="13"/>
                  <w:color w:val="0000FF"/>
                </w:rPr>
                <w:t>Supplemental Indenture to Exhibit 4(p)(1),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333">
              <w:r>
                <w:rPr>
                  <w:rFonts w:ascii="Times New Roman" w:cs="Times New Roman" w:eastAsia="Times New Roman" w:hAnsi="Times New Roman"/>
                  <w:sz w:val="12"/>
                  <w:szCs w:val="12"/>
                  <w:color w:val="0000FF"/>
                </w:rPr>
                <w:t>as of August 14, 2024</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4(p)(3)</w:t>
            </w:r>
          </w:p>
        </w:tc>
        <w:tc>
          <w:tcPr>
            <w:tcW w:w="3000" w:type="dxa"/>
            <w:vAlign w:val="bottom"/>
            <w:gridSpan w:val="3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4">
              <w:r>
                <w:rPr>
                  <w:rFonts w:ascii="Times New Roman" w:cs="Times New Roman" w:eastAsia="Times New Roman" w:hAnsi="Times New Roman"/>
                  <w:sz w:val="13"/>
                  <w:szCs w:val="13"/>
                  <w:color w:val="0000FF"/>
                </w:rPr>
                <w:t>Supplemental Indenture No. 2 to Exhibit 4(p)(1),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30"/>
          </w:tcPr>
          <w:p>
            <w:pPr>
              <w:spacing w:after="0" w:line="107" w:lineRule="exact"/>
              <w:rPr>
                <w:rFonts w:ascii="Times New Roman" w:cs="Times New Roman" w:eastAsia="Times New Roman" w:hAnsi="Times New Roman"/>
                <w:sz w:val="12"/>
                <w:szCs w:val="12"/>
                <w:color w:val="0000FF"/>
              </w:rPr>
            </w:pPr>
            <w:hyperlink r:id="rId334">
              <w:r>
                <w:rPr>
                  <w:rFonts w:ascii="Times New Roman" w:cs="Times New Roman" w:eastAsia="Times New Roman" w:hAnsi="Times New Roman"/>
                  <w:sz w:val="12"/>
                  <w:szCs w:val="12"/>
                  <w:color w:val="0000FF"/>
                </w:rPr>
                <w:t>dated as of October 31, 2024, providing for the</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334">
              <w:r>
                <w:rPr>
                  <w:rFonts w:ascii="Times New Roman" w:cs="Times New Roman" w:eastAsia="Times New Roman" w:hAnsi="Times New Roman"/>
                  <w:sz w:val="12"/>
                  <w:szCs w:val="12"/>
                  <w:color w:val="0000FF"/>
                </w:rPr>
                <w:t>issuance of CenterPoint Energy’s 6.700% Fixed</w:t>
              </w:r>
            </w:hyperlink>
          </w:p>
        </w:tc>
        <w:tc>
          <w:tcPr>
            <w:tcW w:w="200" w:type="dxa"/>
            <w:vAlign w:val="bottom"/>
            <w:gridSpan w:val="10"/>
          </w:tcPr>
          <w:p>
            <w:pPr>
              <w:jc w:val="right"/>
              <w:ind w:right="160"/>
              <w:spacing w:after="0"/>
              <w:rPr>
                <w:rFonts w:ascii="Times New Roman" w:cs="Times New Roman" w:eastAsia="Times New Roman" w:hAnsi="Times New Roman"/>
                <w:sz w:val="8"/>
                <w:szCs w:val="8"/>
                <w:color w:val="0000FF"/>
                <w:w w:val="73"/>
              </w:rPr>
            </w:pPr>
            <w:hyperlink r:id="rId334">
              <w:r>
                <w:rPr>
                  <w:rFonts w:ascii="Times New Roman" w:cs="Times New Roman" w:eastAsia="Times New Roman" w:hAnsi="Times New Roman"/>
                  <w:sz w:val="8"/>
                  <w:szCs w:val="8"/>
                  <w:color w:val="0000FF"/>
                  <w:w w:val="73"/>
                </w:rPr>
                <w:t>-</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334">
              <w:r>
                <w:rPr>
                  <w:rFonts w:ascii="Times New Roman" w:cs="Times New Roman" w:eastAsia="Times New Roman" w:hAnsi="Times New Roman"/>
                  <w:sz w:val="12"/>
                  <w:szCs w:val="12"/>
                  <w:color w:val="0000FF"/>
                </w:rPr>
                <w:t>to-Fixed Reset Junior Subordinated Notes,</w:t>
              </w:r>
            </w:hyperlink>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34">
              <w:r>
                <w:rPr>
                  <w:rFonts w:ascii="Times New Roman" w:cs="Times New Roman" w:eastAsia="Times New Roman" w:hAnsi="Times New Roman"/>
                  <w:sz w:val="12"/>
                  <w:szCs w:val="12"/>
                  <w:color w:val="0000FF"/>
                </w:rPr>
                <w:t>Series C, due 2055</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4(p)(4)</w:t>
            </w:r>
          </w:p>
        </w:tc>
        <w:tc>
          <w:tcPr>
            <w:tcW w:w="3000" w:type="dxa"/>
            <w:vAlign w:val="bottom"/>
            <w:gridSpan w:val="3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5">
              <w:r>
                <w:rPr>
                  <w:rFonts w:ascii="Times New Roman" w:cs="Times New Roman" w:eastAsia="Times New Roman" w:hAnsi="Times New Roman"/>
                  <w:sz w:val="13"/>
                  <w:szCs w:val="13"/>
                  <w:color w:val="0000FF"/>
                </w:rPr>
                <w:t>Supplemental Indenture No. 3 to Exhibit 4(p)(1),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35">
              <w:r>
                <w:rPr>
                  <w:rFonts w:ascii="Times New Roman" w:cs="Times New Roman" w:eastAsia="Times New Roman" w:hAnsi="Times New Roman"/>
                  <w:sz w:val="12"/>
                  <w:szCs w:val="12"/>
                  <w:color w:val="0000FF"/>
                </w:rPr>
                <w:t>dated as of October 2, 2025, providing for the</w:t>
              </w:r>
            </w:hyperlink>
          </w:p>
        </w:tc>
        <w:tc>
          <w:tcPr>
            <w:tcW w:w="300" w:type="dxa"/>
            <w:vAlign w:val="bottom"/>
            <w:tcBorders>
              <w:top w:val="single" w:sz="8" w:color="0000FF"/>
            </w:tcBorders>
            <w:gridSpan w:val="1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gridSpan w:val="31"/>
          </w:tcPr>
          <w:p>
            <w:pPr>
              <w:spacing w:after="0" w:line="107" w:lineRule="exact"/>
              <w:rPr>
                <w:rFonts w:ascii="Times New Roman" w:cs="Times New Roman" w:eastAsia="Times New Roman" w:hAnsi="Times New Roman"/>
                <w:sz w:val="12"/>
                <w:szCs w:val="12"/>
                <w:color w:val="0000FF"/>
              </w:rPr>
            </w:pPr>
            <w:hyperlink r:id="rId335">
              <w:r>
                <w:rPr>
                  <w:rFonts w:ascii="Times New Roman" w:cs="Times New Roman" w:eastAsia="Times New Roman" w:hAnsi="Times New Roman"/>
                  <w:sz w:val="12"/>
                  <w:szCs w:val="12"/>
                  <w:color w:val="0000FF"/>
                </w:rPr>
                <w:t>issuance of CenterPoint Energy’s 5.950% Fixed-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335">
              <w:r>
                <w:rPr>
                  <w:rFonts w:ascii="Times New Roman" w:cs="Times New Roman" w:eastAsia="Times New Roman" w:hAnsi="Times New Roman"/>
                  <w:sz w:val="12"/>
                  <w:szCs w:val="12"/>
                  <w:color w:val="0000FF"/>
                </w:rPr>
                <w:t>to-Fixed Reset Rate Junior Subordinated Notes,</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335">
              <w:r>
                <w:rPr>
                  <w:rFonts w:ascii="Times New Roman" w:cs="Times New Roman" w:eastAsia="Times New Roman" w:hAnsi="Times New Roman"/>
                  <w:sz w:val="12"/>
                  <w:szCs w:val="12"/>
                  <w:color w:val="0000FF"/>
                </w:rPr>
                <w:t>Series D, due 2056</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4(q)</w:t>
            </w:r>
          </w:p>
        </w:tc>
        <w:tc>
          <w:tcPr>
            <w:tcW w:w="3000" w:type="dxa"/>
            <w:vAlign w:val="bottom"/>
            <w:gridSpan w:val="3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6">
              <w:r>
                <w:rPr>
                  <w:rFonts w:ascii="Times New Roman" w:cs="Times New Roman" w:eastAsia="Times New Roman" w:hAnsi="Times New Roman"/>
                  <w:sz w:val="13"/>
                  <w:szCs w:val="13"/>
                  <w:color w:val="0000FF"/>
                </w:rPr>
                <w:t>Indenture dated as of July 31, 2025, between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gridSpan w:val="31"/>
          </w:tcPr>
          <w:p>
            <w:pPr>
              <w:spacing w:after="0" w:line="107" w:lineRule="exact"/>
              <w:rPr>
                <w:rFonts w:ascii="Times New Roman" w:cs="Times New Roman" w:eastAsia="Times New Roman" w:hAnsi="Times New Roman"/>
                <w:sz w:val="12"/>
                <w:szCs w:val="12"/>
                <w:color w:val="0000FF"/>
              </w:rPr>
            </w:pPr>
            <w:hyperlink r:id="rId336">
              <w:r>
                <w:rPr>
                  <w:rFonts w:ascii="Times New Roman" w:cs="Times New Roman" w:eastAsia="Times New Roman" w:hAnsi="Times New Roman"/>
                  <w:sz w:val="12"/>
                  <w:szCs w:val="12"/>
                  <w:color w:val="0000FF"/>
                </w:rPr>
                <w:t>CenterPoint Energy, Inc. and The Bank of New</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336">
              <w:r>
                <w:rPr>
                  <w:rFonts w:ascii="Times New Roman" w:cs="Times New Roman" w:eastAsia="Times New Roman" w:hAnsi="Times New Roman"/>
                  <w:sz w:val="12"/>
                  <w:szCs w:val="12"/>
                  <w:color w:val="0000FF"/>
                </w:rPr>
                <w:t>York Mellon Trust Company, National</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36">
              <w:r>
                <w:rPr>
                  <w:rFonts w:ascii="Times New Roman" w:cs="Times New Roman" w:eastAsia="Times New Roman" w:hAnsi="Times New Roman"/>
                  <w:sz w:val="12"/>
                  <w:szCs w:val="12"/>
                  <w:color w:val="0000FF"/>
                </w:rPr>
                <w:t>Association, as trustee</w:t>
              </w:r>
            </w:hyperlink>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4(r)</w:t>
            </w:r>
          </w:p>
        </w:tc>
        <w:tc>
          <w:tcPr>
            <w:tcW w:w="3000" w:type="dxa"/>
            <w:vAlign w:val="bottom"/>
            <w:gridSpan w:val="3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7">
              <w:r>
                <w:rPr>
                  <w:rFonts w:ascii="Times New Roman" w:cs="Times New Roman" w:eastAsia="Times New Roman" w:hAnsi="Times New Roman"/>
                  <w:sz w:val="13"/>
                  <w:szCs w:val="13"/>
                  <w:color w:val="0000FF"/>
                </w:rPr>
                <w:t>Indenture by and among CenterPoint Energy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gridSpan w:val="31"/>
          </w:tcPr>
          <w:p>
            <w:pPr>
              <w:spacing w:after="0" w:line="107" w:lineRule="exact"/>
              <w:rPr>
                <w:rFonts w:ascii="Times New Roman" w:cs="Times New Roman" w:eastAsia="Times New Roman" w:hAnsi="Times New Roman"/>
                <w:sz w:val="12"/>
                <w:szCs w:val="12"/>
                <w:color w:val="0000FF"/>
              </w:rPr>
            </w:pPr>
            <w:hyperlink r:id="rId337">
              <w:r>
                <w:rPr>
                  <w:rFonts w:ascii="Times New Roman" w:cs="Times New Roman" w:eastAsia="Times New Roman" w:hAnsi="Times New Roman"/>
                  <w:sz w:val="12"/>
                  <w:szCs w:val="12"/>
                  <w:color w:val="0000FF"/>
                </w:rPr>
                <w:t>Restoration Bond Company II, LLC, U.S. Bank</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337">
              <w:r>
                <w:rPr>
                  <w:rFonts w:ascii="Times New Roman" w:cs="Times New Roman" w:eastAsia="Times New Roman" w:hAnsi="Times New Roman"/>
                  <w:sz w:val="12"/>
                  <w:szCs w:val="12"/>
                  <w:color w:val="0000FF"/>
                </w:rPr>
                <w:t>Trust Company, National Association, as</w:t>
              </w:r>
            </w:hyperlink>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37">
              <w:r>
                <w:rPr>
                  <w:rFonts w:ascii="Times New Roman" w:cs="Times New Roman" w:eastAsia="Times New Roman" w:hAnsi="Times New Roman"/>
                  <w:sz w:val="12"/>
                  <w:szCs w:val="12"/>
                  <w:color w:val="0000FF"/>
                </w:rPr>
                <w:t>Indenture Trustee, and U.S. Bank National</w:t>
              </w:r>
            </w:hyperlink>
          </w:p>
        </w:tc>
        <w:tc>
          <w:tcPr>
            <w:tcW w:w="10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37">
              <w:r>
                <w:rPr>
                  <w:rFonts w:ascii="Times New Roman" w:cs="Times New Roman" w:eastAsia="Times New Roman" w:hAnsi="Times New Roman"/>
                  <w:sz w:val="12"/>
                  <w:szCs w:val="12"/>
                  <w:color w:val="0000FF"/>
                </w:rPr>
                <w:t>Association, as Securities Intermediary</w:t>
              </w:r>
            </w:hyperlink>
          </w:p>
        </w:tc>
        <w:tc>
          <w:tcPr>
            <w:tcW w:w="1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gridSpan w:val="31"/>
          </w:tcPr>
          <w:p>
            <w:pPr>
              <w:spacing w:after="0" w:line="107" w:lineRule="exact"/>
              <w:rPr>
                <w:rFonts w:ascii="Times New Roman" w:cs="Times New Roman" w:eastAsia="Times New Roman" w:hAnsi="Times New Roman"/>
                <w:sz w:val="12"/>
                <w:szCs w:val="12"/>
                <w:color w:val="0000FF"/>
              </w:rPr>
            </w:pPr>
            <w:hyperlink r:id="rId337">
              <w:r>
                <w:rPr>
                  <w:rFonts w:ascii="Times New Roman" w:cs="Times New Roman" w:eastAsia="Times New Roman" w:hAnsi="Times New Roman"/>
                  <w:sz w:val="12"/>
                  <w:szCs w:val="12"/>
                  <w:color w:val="0000FF"/>
                </w:rPr>
                <w:t>(including the forms of the System Restoration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337">
              <w:r>
                <w:rPr>
                  <w:rFonts w:ascii="Times New Roman" w:cs="Times New Roman" w:eastAsia="Times New Roman" w:hAnsi="Times New Roman"/>
                  <w:sz w:val="12"/>
                  <w:szCs w:val="12"/>
                  <w:color w:val="0000FF"/>
                </w:rPr>
                <w:t>Bonds and the form of Series Supplement),</w:t>
              </w:r>
            </w:hyperlink>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37">
              <w:r>
                <w:rPr>
                  <w:rFonts w:ascii="Times New Roman" w:cs="Times New Roman" w:eastAsia="Times New Roman" w:hAnsi="Times New Roman"/>
                  <w:sz w:val="12"/>
                  <w:szCs w:val="12"/>
                  <w:color w:val="0000FF"/>
                </w:rPr>
                <w:t>dated as of September 17, 2025</w:t>
              </w:r>
            </w:hyperlink>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4(s)</w:t>
            </w:r>
          </w:p>
        </w:tc>
        <w:tc>
          <w:tcPr>
            <w:tcW w:w="3000" w:type="dxa"/>
            <w:vAlign w:val="bottom"/>
            <w:gridSpan w:val="3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8">
              <w:r>
                <w:rPr>
                  <w:rFonts w:ascii="Times New Roman" w:cs="Times New Roman" w:eastAsia="Times New Roman" w:hAnsi="Times New Roman"/>
                  <w:sz w:val="13"/>
                  <w:szCs w:val="13"/>
                  <w:color w:val="0000FF"/>
                </w:rPr>
                <w:t>Series Supplement by and between CenterPoint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bottom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338">
              <w:r>
                <w:rPr>
                  <w:rFonts w:ascii="Times New Roman" w:cs="Times New Roman" w:eastAsia="Times New Roman" w:hAnsi="Times New Roman"/>
                  <w:sz w:val="12"/>
                  <w:szCs w:val="12"/>
                  <w:color w:val="0000FF"/>
                </w:rPr>
                <w:t>Energy Restoration Bond Company II, LLC and</w:t>
              </w:r>
            </w:hyperlink>
          </w:p>
        </w:tc>
        <w:tc>
          <w:tcPr>
            <w:tcW w:w="60" w:type="dxa"/>
            <w:vAlign w:val="bottom"/>
            <w:tcBorders>
              <w:bottom w:val="single" w:sz="8" w:color="0000FF"/>
            </w:tcBorders>
            <w:gridSpan w:val="3"/>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4"/>
          </w:tcPr>
          <w:p>
            <w:pPr>
              <w:spacing w:after="0" w:line="107" w:lineRule="exact"/>
              <w:rPr>
                <w:rFonts w:ascii="Times New Roman" w:cs="Times New Roman" w:eastAsia="Times New Roman" w:hAnsi="Times New Roman"/>
                <w:sz w:val="12"/>
                <w:szCs w:val="12"/>
                <w:color w:val="0000FF"/>
              </w:rPr>
            </w:pPr>
            <w:hyperlink r:id="rId338">
              <w:r>
                <w:rPr>
                  <w:rFonts w:ascii="Times New Roman" w:cs="Times New Roman" w:eastAsia="Times New Roman" w:hAnsi="Times New Roman"/>
                  <w:sz w:val="12"/>
                  <w:szCs w:val="12"/>
                  <w:color w:val="0000FF"/>
                </w:rPr>
                <w:t>U.S. Bank Trust Company, National</w:t>
              </w:r>
            </w:hyperlink>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gridSpan w:val="31"/>
          </w:tcPr>
          <w:p>
            <w:pPr>
              <w:spacing w:after="0" w:line="107" w:lineRule="exact"/>
              <w:rPr>
                <w:rFonts w:ascii="Times New Roman" w:cs="Times New Roman" w:eastAsia="Times New Roman" w:hAnsi="Times New Roman"/>
                <w:sz w:val="12"/>
                <w:szCs w:val="12"/>
                <w:color w:val="0000FF"/>
              </w:rPr>
            </w:pPr>
            <w:hyperlink r:id="rId338">
              <w:r>
                <w:rPr>
                  <w:rFonts w:ascii="Times New Roman" w:cs="Times New Roman" w:eastAsia="Times New Roman" w:hAnsi="Times New Roman"/>
                  <w:sz w:val="12"/>
                  <w:szCs w:val="12"/>
                  <w:color w:val="0000FF"/>
                </w:rPr>
                <w:t>Association, as Indenture Trustee,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338">
              <w:r>
                <w:rPr>
                  <w:rFonts w:ascii="Times New Roman" w:cs="Times New Roman" w:eastAsia="Times New Roman" w:hAnsi="Times New Roman"/>
                  <w:sz w:val="12"/>
                  <w:szCs w:val="12"/>
                  <w:color w:val="0000FF"/>
                </w:rPr>
                <w:t>September 17, 2025</w:t>
              </w:r>
            </w:hyperlink>
          </w:p>
        </w:tc>
        <w:tc>
          <w:tcPr>
            <w:tcW w:w="20" w:type="dxa"/>
            <w:vAlign w:val="bottom"/>
          </w:tcPr>
          <w:p>
            <w:pPr>
              <w:spacing w:after="0"/>
              <w:rPr>
                <w:sz w:val="9"/>
                <w:szCs w:val="9"/>
                <w:color w:val="auto"/>
              </w:rPr>
            </w:pPr>
          </w:p>
        </w:tc>
        <w:tc>
          <w:tcPr>
            <w:tcW w:w="340" w:type="dxa"/>
            <w:vAlign w:val="bottom"/>
            <w:gridSpan w:val="1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†4(t)</w:t>
            </w:r>
          </w:p>
        </w:tc>
        <w:tc>
          <w:tcPr>
            <w:tcW w:w="3000" w:type="dxa"/>
            <w:vAlign w:val="bottom"/>
            <w:gridSpan w:val="3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Description of CenterPoint Energy’s Securities</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rPr>
              <w:t>CERC’s Form 8-K dated</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8"/>
              </w:rPr>
              <w:t>4.3</w:t>
            </w:r>
          </w:p>
        </w:tc>
        <w:tc>
          <w:tcPr>
            <w:tcW w:w="1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October 5,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2"/>
                <w:szCs w:val="22"/>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August 4, 2023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September 30, 2024</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2"/>
                <w:szCs w:val="22"/>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September 30, 2024</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3"/>
                <w:szCs w:val="13"/>
                <w:color w:val="auto"/>
                <w:w w:val="97"/>
              </w:rPr>
              <w:t>4(p)(3)</w:t>
            </w:r>
          </w:p>
        </w:tc>
        <w:tc>
          <w:tcPr>
            <w:tcW w:w="2120" w:type="dxa"/>
            <w:vAlign w:val="bottom"/>
            <w:gridSpan w:val="4"/>
          </w:tcPr>
          <w:p>
            <w:pPr>
              <w:ind w:left="48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K for the year ended December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31, 2024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September 30,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July 31, 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Houston Electric’s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dated September 17, 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Houston Electric’s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dated September 17, 2025</w:t>
      </w:r>
    </w:p>
    <w:p>
      <w:pPr>
        <w:spacing w:after="0" w:line="36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3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55880</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4120" w:space="100"/>
            <w:col w:w="7060"/>
          </w:cols>
          <w:pgMar w:left="300" w:top="747" w:right="31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gridSpan w:val="4"/>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1"/>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8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w w:val="99"/>
              </w:rPr>
              <w:t>†4(u)</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3"/>
          </w:tcPr>
          <w:p>
            <w:pPr>
              <w:spacing w:after="0" w:line="137" w:lineRule="exact"/>
              <w:rPr>
                <w:sz w:val="20"/>
                <w:szCs w:val="20"/>
                <w:color w:val="auto"/>
              </w:rPr>
            </w:pPr>
            <w:r>
              <w:rPr>
                <w:rFonts w:ascii="Times New Roman" w:cs="Times New Roman" w:eastAsia="Times New Roman" w:hAnsi="Times New Roman"/>
                <w:sz w:val="13"/>
                <w:szCs w:val="13"/>
                <w:color w:val="0000FF"/>
              </w:rPr>
              <w:t>Description of Houston Electric’s Securities</w:t>
            </w:r>
          </w:p>
        </w:tc>
        <w:tc>
          <w:tcPr>
            <w:tcW w:w="10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ind w:left="40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†4(v)</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7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6"/>
              </w:rPr>
              <w:t>Description of CERC’s Securities</w:t>
            </w:r>
          </w:p>
        </w:tc>
        <w:tc>
          <w:tcPr>
            <w:tcW w:w="52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Pursuant to Item 601(b)(4)(iii)(A) of Regulation S-K, the Registrants have not filed as exhibits to this Form 10-K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80"/>
          </w:cols>
          <w:pgMar w:left="300" w:top="747" w:right="31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1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*10(a)</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600" w:type="dxa"/>
            <w:vAlign w:val="bottom"/>
            <w:gridSpan w:val="17"/>
          </w:tcPr>
          <w:p>
            <w:pPr>
              <w:spacing w:after="0" w:line="137" w:lineRule="exact"/>
              <w:rPr>
                <w:rFonts w:ascii="Times New Roman" w:cs="Times New Roman" w:eastAsia="Times New Roman" w:hAnsi="Times New Roman"/>
                <w:sz w:val="13"/>
                <w:szCs w:val="13"/>
                <w:color w:val="0000FF"/>
                <w:w w:val="97"/>
              </w:rPr>
            </w:pPr>
            <w:hyperlink r:id="rId340">
              <w:r>
                <w:rPr>
                  <w:rFonts w:ascii="Times New Roman" w:cs="Times New Roman" w:eastAsia="Times New Roman" w:hAnsi="Times New Roman"/>
                  <w:sz w:val="13"/>
                  <w:szCs w:val="13"/>
                  <w:color w:val="0000FF"/>
                  <w:w w:val="97"/>
                </w:rPr>
                <w:t>CenterPoint Energy, Inc. 1991 Benefit Restoration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40">
              <w:r>
                <w:rPr>
                  <w:rFonts w:ascii="Times New Roman" w:cs="Times New Roman" w:eastAsia="Times New Roman" w:hAnsi="Times New Roman"/>
                  <w:sz w:val="12"/>
                  <w:szCs w:val="12"/>
                  <w:color w:val="0000FF"/>
                </w:rPr>
                <w:t>Plan, as amended and restated effective as of</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40">
              <w:r>
                <w:rPr>
                  <w:rFonts w:ascii="Times New Roman" w:cs="Times New Roman" w:eastAsia="Times New Roman" w:hAnsi="Times New Roman"/>
                  <w:sz w:val="12"/>
                  <w:szCs w:val="12"/>
                  <w:color w:val="0000FF"/>
                </w:rPr>
                <w:t>February 25, 2011</w:t>
              </w:r>
            </w:hyperlink>
          </w:p>
        </w:tc>
        <w:tc>
          <w:tcPr>
            <w:tcW w:w="1340" w:type="dxa"/>
            <w:vAlign w:val="bottom"/>
            <w:tcBorders>
              <w:top w:val="single" w:sz="8" w:color="0000FF"/>
            </w:tcBorders>
            <w:gridSpan w:val="5"/>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*10(b)(1)</w:t>
            </w:r>
          </w:p>
        </w:tc>
        <w:tc>
          <w:tcPr>
            <w:tcW w:w="292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1">
              <w:r>
                <w:rPr>
                  <w:rFonts w:ascii="Times New Roman" w:cs="Times New Roman" w:eastAsia="Times New Roman" w:hAnsi="Times New Roman"/>
                  <w:sz w:val="13"/>
                  <w:szCs w:val="13"/>
                  <w:color w:val="0000FF"/>
                </w:rPr>
                <w:t>CenterPoint Energy Benefit Restoration Plan,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41">
              <w:r>
                <w:rPr>
                  <w:rFonts w:ascii="Times New Roman" w:cs="Times New Roman" w:eastAsia="Times New Roman" w:hAnsi="Times New Roman"/>
                  <w:sz w:val="12"/>
                  <w:szCs w:val="12"/>
                  <w:color w:val="0000FF"/>
                </w:rPr>
                <w:t>effective as of January 1, 2008</w:t>
              </w:r>
            </w:hyperlink>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*10(b)(2)</w:t>
            </w:r>
          </w:p>
        </w:tc>
        <w:tc>
          <w:tcPr>
            <w:tcW w:w="292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2">
              <w:r>
                <w:rPr>
                  <w:rFonts w:ascii="Times New Roman" w:cs="Times New Roman" w:eastAsia="Times New Roman" w:hAnsi="Times New Roman"/>
                  <w:sz w:val="13"/>
                  <w:szCs w:val="13"/>
                  <w:color w:val="0000FF"/>
                </w:rPr>
                <w:t>First Amendment to Exhibit 10(b)(1), effective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42">
              <w:r>
                <w:rPr>
                  <w:rFonts w:ascii="Times New Roman" w:cs="Times New Roman" w:eastAsia="Times New Roman" w:hAnsi="Times New Roman"/>
                  <w:sz w:val="12"/>
                  <w:szCs w:val="12"/>
                  <w:color w:val="0000FF"/>
                </w:rPr>
                <w:t>of February 25, 2011</w:t>
              </w:r>
            </w:hyperlink>
          </w:p>
        </w:tc>
        <w:tc>
          <w:tcPr>
            <w:tcW w:w="146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*10(b)(3)</w:t>
            </w:r>
          </w:p>
        </w:tc>
        <w:tc>
          <w:tcPr>
            <w:tcW w:w="292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3">
              <w:r>
                <w:rPr>
                  <w:rFonts w:ascii="Times New Roman" w:cs="Times New Roman" w:eastAsia="Times New Roman" w:hAnsi="Times New Roman"/>
                  <w:sz w:val="13"/>
                  <w:szCs w:val="13"/>
                  <w:color w:val="0000FF"/>
                </w:rPr>
                <w:t>Partial Termination Amendment to Exhibit 10(b)</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43">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effective as of March 1, 2022</w:t>
              </w:r>
            </w:hyperlink>
          </w:p>
        </w:tc>
        <w:tc>
          <w:tcPr>
            <w:tcW w:w="6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*10(b)(4)</w:t>
            </w:r>
          </w:p>
        </w:tc>
        <w:tc>
          <w:tcPr>
            <w:tcW w:w="292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4">
              <w:r>
                <w:rPr>
                  <w:rFonts w:ascii="Times New Roman" w:cs="Times New Roman" w:eastAsia="Times New Roman" w:hAnsi="Times New Roman"/>
                  <w:sz w:val="13"/>
                  <w:szCs w:val="13"/>
                  <w:color w:val="0000FF"/>
                </w:rPr>
                <w:t>Third Amendment to Exhibit 10(b)(1), effective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44">
              <w:r>
                <w:rPr>
                  <w:rFonts w:ascii="Times New Roman" w:cs="Times New Roman" w:eastAsia="Times New Roman" w:hAnsi="Times New Roman"/>
                  <w:sz w:val="12"/>
                  <w:szCs w:val="12"/>
                  <w:color w:val="0000FF"/>
                </w:rPr>
                <w:t>as of October 1, 2023</w:t>
              </w:r>
            </w:hyperlink>
          </w:p>
        </w:tc>
        <w:tc>
          <w:tcPr>
            <w:tcW w:w="134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*10(c)</w:t>
            </w:r>
          </w:p>
        </w:tc>
        <w:tc>
          <w:tcPr>
            <w:tcW w:w="292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5">
              <w:r>
                <w:rPr>
                  <w:rFonts w:ascii="Times New Roman" w:cs="Times New Roman" w:eastAsia="Times New Roman" w:hAnsi="Times New Roman"/>
                  <w:sz w:val="13"/>
                  <w:szCs w:val="13"/>
                  <w:color w:val="0000FF"/>
                </w:rPr>
                <w:t>CenterPoint Energy 1985 Deferred Compensation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345">
              <w:r>
                <w:rPr>
                  <w:rFonts w:ascii="Times New Roman" w:cs="Times New Roman" w:eastAsia="Times New Roman" w:hAnsi="Times New Roman"/>
                  <w:sz w:val="12"/>
                  <w:szCs w:val="12"/>
                  <w:color w:val="0000FF"/>
                </w:rPr>
                <w:t>Plan, as amended and restated effective January 1,</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45">
              <w:r>
                <w:rPr>
                  <w:rFonts w:ascii="Times New Roman" w:cs="Times New Roman" w:eastAsia="Times New Roman" w:hAnsi="Times New Roman"/>
                  <w:sz w:val="12"/>
                  <w:szCs w:val="12"/>
                  <w:color w:val="0000FF"/>
                  <w:w w:val="99"/>
                </w:rPr>
                <w:t>2003</w:t>
              </w:r>
            </w:hyperlink>
          </w:p>
        </w:tc>
        <w:tc>
          <w:tcPr>
            <w:tcW w:w="5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*10(d)(1)</w:t>
            </w:r>
          </w:p>
        </w:tc>
        <w:tc>
          <w:tcPr>
            <w:tcW w:w="292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6">
              <w:r>
                <w:rPr>
                  <w:rFonts w:ascii="Times New Roman" w:cs="Times New Roman" w:eastAsia="Times New Roman" w:hAnsi="Times New Roman"/>
                  <w:sz w:val="13"/>
                  <w:szCs w:val="13"/>
                  <w:color w:val="0000FF"/>
                </w:rPr>
                <w:t>Amended and Restated CenterPoint Energy, Inc.</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46">
              <w:r>
                <w:rPr>
                  <w:rFonts w:ascii="Times New Roman" w:cs="Times New Roman" w:eastAsia="Times New Roman" w:hAnsi="Times New Roman"/>
                  <w:sz w:val="12"/>
                  <w:szCs w:val="12"/>
                  <w:color w:val="0000FF"/>
                </w:rPr>
                <w:t>1991 Savings Restoration Plan, effective as of</w:t>
              </w:r>
            </w:hyperlink>
          </w:p>
        </w:tc>
        <w:tc>
          <w:tcPr>
            <w:tcW w:w="1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46">
              <w:r>
                <w:rPr>
                  <w:rFonts w:ascii="Times New Roman" w:cs="Times New Roman" w:eastAsia="Times New Roman" w:hAnsi="Times New Roman"/>
                  <w:sz w:val="12"/>
                  <w:szCs w:val="12"/>
                  <w:color w:val="0000FF"/>
                </w:rPr>
                <w:t>January 1, 2008</w:t>
              </w:r>
            </w:hyperlink>
          </w:p>
        </w:tc>
        <w:tc>
          <w:tcPr>
            <w:tcW w:w="26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8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*10(d)(2)</w:t>
            </w:r>
          </w:p>
        </w:tc>
        <w:tc>
          <w:tcPr>
            <w:tcW w:w="292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7">
              <w:r>
                <w:rPr>
                  <w:rFonts w:ascii="Times New Roman" w:cs="Times New Roman" w:eastAsia="Times New Roman" w:hAnsi="Times New Roman"/>
                  <w:sz w:val="13"/>
                  <w:szCs w:val="13"/>
                  <w:color w:val="0000FF"/>
                </w:rPr>
                <w:t>First Amendment to Exhibit 10(d)(1), effective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47">
              <w:r>
                <w:rPr>
                  <w:rFonts w:ascii="Times New Roman" w:cs="Times New Roman" w:eastAsia="Times New Roman" w:hAnsi="Times New Roman"/>
                  <w:sz w:val="12"/>
                  <w:szCs w:val="12"/>
                  <w:color w:val="0000FF"/>
                </w:rPr>
                <w:t>of February 25, 2011</w:t>
              </w:r>
            </w:hyperlink>
          </w:p>
        </w:tc>
        <w:tc>
          <w:tcPr>
            <w:tcW w:w="1460" w:type="dxa"/>
            <w:vAlign w:val="bottom"/>
            <w:tcBorders>
              <w:top w:val="single" w:sz="8" w:color="0000FF"/>
            </w:tcBorders>
            <w:gridSpan w:val="10"/>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0" w:type="dxa"/>
            <w:vAlign w:val="bottom"/>
          </w:tcPr>
          <w:p>
            <w:pPr>
              <w:spacing w:after="0"/>
              <w:rPr>
                <w:sz w:val="1"/>
                <w:szCs w:val="1"/>
                <w:color w:val="auto"/>
              </w:rPr>
            </w:pPr>
          </w:p>
        </w:tc>
      </w:tr>
      <w:tr>
        <w:trPr>
          <w:trHeight w:val="153"/>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w w:val="99"/>
              </w:rPr>
              <w:t>CenterPoint Energy’s Form 10-</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10"/>
                <w:szCs w:val="10"/>
                <w:color w:val="auto"/>
              </w:rPr>
            </w:pPr>
          </w:p>
        </w:tc>
        <w:tc>
          <w:tcPr>
            <w:tcW w:w="106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 for the quarter ended March</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31, 2011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December 22, 2008</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Quarterly</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Report on Form 10-Q for the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 ended March 31, 2011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Quarterly</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5"/>
              </w:rPr>
              <w:t>10.14</w:t>
            </w:r>
          </w:p>
        </w:tc>
        <w:tc>
          <w:tcPr>
            <w:tcW w:w="10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Report on Form 10-Q for the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 ended March 31,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Quarterly</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Report on Form 10-Q for the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quarter ended September 30,</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September 30, 2003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December 22, 2008</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Quarterly</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Report on Form 10-Q for the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 ended March 31, 2011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Houston</w:t>
      </w:r>
    </w:p>
    <w:p>
      <w:pPr>
        <w:ind w:left="20"/>
        <w:spacing w:after="0"/>
        <w:tabs>
          <w:tab w:leader="none" w:pos="960" w:val="left"/>
        </w:tabs>
        <w:rPr>
          <w:sz w:val="20"/>
          <w:szCs w:val="20"/>
          <w:color w:val="auto"/>
        </w:rPr>
      </w:pPr>
      <w:r>
        <w:rPr>
          <w:rFonts w:ascii="Times New Roman" w:cs="Times New Roman" w:eastAsia="Times New Roman" w:hAnsi="Times New Roman"/>
          <w:sz w:val="11"/>
          <w:szCs w:val="11"/>
          <w:b w:val="1"/>
          <w:bCs w:val="1"/>
          <w:color w:val="auto"/>
        </w:rPr>
        <w:t>Electric</w:t>
      </w:r>
      <w:r>
        <w:rPr>
          <w:sz w:val="20"/>
          <w:szCs w:val="20"/>
          <w:color w:val="auto"/>
        </w:rPr>
        <w:tab/>
      </w:r>
      <w:r>
        <w:rPr>
          <w:rFonts w:ascii="Times New Roman" w:cs="Times New Roman" w:eastAsia="Times New Roman" w:hAnsi="Times New Roman"/>
          <w:sz w:val="11"/>
          <w:szCs w:val="11"/>
          <w:b w:val="1"/>
          <w:bCs w:val="1"/>
          <w:color w:val="auto"/>
        </w:rPr>
        <w:t>CERC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17145</wp:posOffset>
            </wp:positionV>
            <wp:extent cx="112522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8">
                      <a:extLst>
                        <a:ext uri="{28A0092B-C50C-407E-A947-70E740481C1C}"/>
                      </a:extLst>
                    </a:blip>
                    <a:srcRect/>
                    <a:stretch>
                      <a:fillRect/>
                    </a:stretch>
                  </pic:blipFill>
                  <pic:spPr bwMode="auto">
                    <a:xfrm>
                      <a:off x="0" y="0"/>
                      <a:ext cx="1125220" cy="6985"/>
                    </a:xfrm>
                    <a:prstGeom prst="rect">
                      <a:avLst/>
                    </a:prstGeom>
                    <a:noFill/>
                  </pic:spPr>
                </pic:pic>
              </a:graphicData>
            </a:graphic>
          </wp:anchor>
        </w:drawing>
      </w:r>
    </w:p>
    <w:p>
      <w:pPr>
        <w:spacing w:after="0" w:line="3628" w:lineRule="exact"/>
        <w:rPr>
          <w:sz w:val="20"/>
          <w:szCs w:val="20"/>
          <w:color w:val="auto"/>
        </w:rPr>
      </w:pPr>
    </w:p>
    <w:p>
      <w:pPr>
        <w:sectPr>
          <w:pgSz w:w="11900" w:h="16838" w:orient="portrait"/>
          <w:cols w:equalWidth="0" w:num="3">
            <w:col w:w="4180" w:space="100"/>
            <w:col w:w="5140" w:space="300"/>
            <w:col w:w="1560"/>
          </w:cols>
          <w:pgMar w:left="300" w:top="747" w:right="31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9" w:name="page210"/>
    <w:bookmarkEnd w:id="209"/>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40" w:type="dxa"/>
            <w:vAlign w:val="bottom"/>
            <w:gridSpan w:val="16"/>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7"/>
              </w:rPr>
              <w:t>*10(e)(1)</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80" w:type="dxa"/>
            <w:vAlign w:val="bottom"/>
            <w:gridSpan w:val="18"/>
          </w:tcPr>
          <w:p>
            <w:pPr>
              <w:spacing w:after="0" w:line="138" w:lineRule="exact"/>
              <w:rPr>
                <w:rFonts w:ascii="Times New Roman" w:cs="Times New Roman" w:eastAsia="Times New Roman" w:hAnsi="Times New Roman"/>
                <w:sz w:val="13"/>
                <w:szCs w:val="13"/>
                <w:color w:val="0000FF"/>
              </w:rPr>
            </w:pPr>
            <w:hyperlink r:id="rId350">
              <w:r>
                <w:rPr>
                  <w:rFonts w:ascii="Times New Roman" w:cs="Times New Roman" w:eastAsia="Times New Roman" w:hAnsi="Times New Roman"/>
                  <w:sz w:val="13"/>
                  <w:szCs w:val="13"/>
                  <w:color w:val="0000FF"/>
                </w:rPr>
                <w:t>CenterPoint Energy Savings Restoration Plan,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50">
              <w:r>
                <w:rPr>
                  <w:rFonts w:ascii="Times New Roman" w:cs="Times New Roman" w:eastAsia="Times New Roman" w:hAnsi="Times New Roman"/>
                  <w:sz w:val="12"/>
                  <w:szCs w:val="12"/>
                  <w:color w:val="0000FF"/>
                </w:rPr>
                <w:t>effective as of January 1, 2008</w:t>
              </w:r>
            </w:hyperlink>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*10(e)(2)</w:t>
            </w:r>
          </w:p>
        </w:tc>
        <w:tc>
          <w:tcPr>
            <w:tcW w:w="2900" w:type="dxa"/>
            <w:vAlign w:val="bottom"/>
            <w:gridSpan w:val="2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1">
              <w:r>
                <w:rPr>
                  <w:rFonts w:ascii="Times New Roman" w:cs="Times New Roman" w:eastAsia="Times New Roman" w:hAnsi="Times New Roman"/>
                  <w:sz w:val="13"/>
                  <w:szCs w:val="13"/>
                  <w:color w:val="0000FF"/>
                </w:rPr>
                <w:t>First Amendment to Exhibit 10(e)(1), effective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51">
              <w:r>
                <w:rPr>
                  <w:rFonts w:ascii="Times New Roman" w:cs="Times New Roman" w:eastAsia="Times New Roman" w:hAnsi="Times New Roman"/>
                  <w:sz w:val="12"/>
                  <w:szCs w:val="12"/>
                  <w:color w:val="0000FF"/>
                </w:rPr>
                <w:t>of February 25, 2011</w:t>
              </w:r>
            </w:hyperlink>
          </w:p>
        </w:tc>
        <w:tc>
          <w:tcPr>
            <w:tcW w:w="144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*10(e)(3)</w:t>
            </w:r>
          </w:p>
        </w:tc>
        <w:tc>
          <w:tcPr>
            <w:tcW w:w="2900" w:type="dxa"/>
            <w:vAlign w:val="bottom"/>
            <w:gridSpan w:val="2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2">
              <w:r>
                <w:rPr>
                  <w:rFonts w:ascii="Times New Roman" w:cs="Times New Roman" w:eastAsia="Times New Roman" w:hAnsi="Times New Roman"/>
                  <w:sz w:val="13"/>
                  <w:szCs w:val="13"/>
                  <w:color w:val="0000FF"/>
                </w:rPr>
                <w:t>Second Amendment to Exhibit 10(e)(1), effective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52">
              <w:r>
                <w:rPr>
                  <w:rFonts w:ascii="Times New Roman" w:cs="Times New Roman" w:eastAsia="Times New Roman" w:hAnsi="Times New Roman"/>
                  <w:sz w:val="12"/>
                  <w:szCs w:val="12"/>
                  <w:color w:val="0000FF"/>
                </w:rPr>
                <w:t>as of January 1, 2020</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*10(e)(4)</w:t>
            </w:r>
          </w:p>
        </w:tc>
        <w:tc>
          <w:tcPr>
            <w:tcW w:w="2900" w:type="dxa"/>
            <w:vAlign w:val="bottom"/>
            <w:gridSpan w:val="2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3">
              <w:r>
                <w:rPr>
                  <w:rFonts w:ascii="Times New Roman" w:cs="Times New Roman" w:eastAsia="Times New Roman" w:hAnsi="Times New Roman"/>
                  <w:sz w:val="13"/>
                  <w:szCs w:val="13"/>
                  <w:color w:val="0000FF"/>
                </w:rPr>
                <w:t>Partial Termination Amendment to Exhibit 10(e)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53">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effective as of March 1, 2022</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*10(e)(5)</w:t>
            </w:r>
          </w:p>
        </w:tc>
        <w:tc>
          <w:tcPr>
            <w:tcW w:w="2900" w:type="dxa"/>
            <w:vAlign w:val="bottom"/>
            <w:gridSpan w:val="2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4">
              <w:r>
                <w:rPr>
                  <w:rFonts w:ascii="Times New Roman" w:cs="Times New Roman" w:eastAsia="Times New Roman" w:hAnsi="Times New Roman"/>
                  <w:sz w:val="13"/>
                  <w:szCs w:val="13"/>
                  <w:color w:val="0000FF"/>
                </w:rPr>
                <w:t>Fourth Amendment to Exhibit 10(e)(1), effective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54">
              <w:r>
                <w:rPr>
                  <w:rFonts w:ascii="Times New Roman" w:cs="Times New Roman" w:eastAsia="Times New Roman" w:hAnsi="Times New Roman"/>
                  <w:sz w:val="12"/>
                  <w:szCs w:val="12"/>
                  <w:color w:val="0000FF"/>
                </w:rPr>
                <w:t>as of October 1, 2023</w:t>
              </w:r>
            </w:hyperlink>
          </w:p>
        </w:tc>
        <w:tc>
          <w:tcPr>
            <w:tcW w:w="1400" w:type="dxa"/>
            <w:vAlign w:val="bottom"/>
            <w:tcBorders>
              <w:top w:val="single" w:sz="8" w:color="0000FF"/>
            </w:tcBorders>
            <w:gridSpan w:val="10"/>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*10(e)(6)</w:t>
            </w:r>
          </w:p>
        </w:tc>
        <w:tc>
          <w:tcPr>
            <w:tcW w:w="2900" w:type="dxa"/>
            <w:vAlign w:val="bottom"/>
            <w:gridSpan w:val="2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5">
              <w:r>
                <w:rPr>
                  <w:rFonts w:ascii="Times New Roman" w:cs="Times New Roman" w:eastAsia="Times New Roman" w:hAnsi="Times New Roman"/>
                  <w:sz w:val="13"/>
                  <w:szCs w:val="13"/>
                  <w:color w:val="0000FF"/>
                </w:rPr>
                <w:t>Fifth Amendment to Exhibit 10(e)(1), effective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355">
              <w:r>
                <w:rPr>
                  <w:rFonts w:ascii="Times New Roman" w:cs="Times New Roman" w:eastAsia="Times New Roman" w:hAnsi="Times New Roman"/>
                  <w:sz w:val="12"/>
                  <w:szCs w:val="12"/>
                  <w:color w:val="0000FF"/>
                </w:rPr>
                <w:t>of January 1, 2024</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*10(e)(7)</w:t>
            </w:r>
          </w:p>
        </w:tc>
        <w:tc>
          <w:tcPr>
            <w:tcW w:w="2900" w:type="dxa"/>
            <w:vAlign w:val="bottom"/>
            <w:gridSpan w:val="2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6">
              <w:r>
                <w:rPr>
                  <w:rFonts w:ascii="Times New Roman" w:cs="Times New Roman" w:eastAsia="Times New Roman" w:hAnsi="Times New Roman"/>
                  <w:sz w:val="13"/>
                  <w:szCs w:val="13"/>
                  <w:color w:val="0000FF"/>
                </w:rPr>
                <w:t>Partial Termination Amendment to Exhibit 10(e)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56">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effective as of April 1, 2024</w:t>
              </w:r>
            </w:hyperlink>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*10(f)</w:t>
            </w:r>
          </w:p>
        </w:tc>
        <w:tc>
          <w:tcPr>
            <w:tcW w:w="2900" w:type="dxa"/>
            <w:vAlign w:val="bottom"/>
            <w:gridSpan w:val="2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7">
              <w:r>
                <w:rPr>
                  <w:rFonts w:ascii="Times New Roman" w:cs="Times New Roman" w:eastAsia="Times New Roman" w:hAnsi="Times New Roman"/>
                  <w:sz w:val="13"/>
                  <w:szCs w:val="13"/>
                  <w:color w:val="0000FF"/>
                </w:rPr>
                <w:t>CenterPoint Energy Executive Life Insurance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57">
              <w:r>
                <w:rPr>
                  <w:rFonts w:ascii="Times New Roman" w:cs="Times New Roman" w:eastAsia="Times New Roman" w:hAnsi="Times New Roman"/>
                  <w:sz w:val="12"/>
                  <w:szCs w:val="12"/>
                  <w:color w:val="0000FF"/>
                </w:rPr>
                <w:t>Plan, as amended and restated effective June</w:t>
              </w:r>
            </w:hyperlink>
          </w:p>
        </w:tc>
        <w:tc>
          <w:tcPr>
            <w:tcW w:w="260" w:type="dxa"/>
            <w:vAlign w:val="bottom"/>
            <w:gridSpan w:val="9"/>
          </w:tcPr>
          <w:p>
            <w:pPr>
              <w:jc w:val="right"/>
              <w:ind w:right="120"/>
              <w:spacing w:after="0" w:line="107" w:lineRule="exact"/>
              <w:rPr>
                <w:rFonts w:ascii="Times New Roman" w:cs="Times New Roman" w:eastAsia="Times New Roman" w:hAnsi="Times New Roman"/>
                <w:sz w:val="12"/>
                <w:szCs w:val="12"/>
                <w:color w:val="0000FF"/>
                <w:w w:val="79"/>
              </w:rPr>
            </w:pPr>
            <w:hyperlink r:id="rId357">
              <w:r>
                <w:rPr>
                  <w:rFonts w:ascii="Times New Roman" w:cs="Times New Roman" w:eastAsia="Times New Roman" w:hAnsi="Times New Roman"/>
                  <w:sz w:val="12"/>
                  <w:szCs w:val="12"/>
                  <w:color w:val="0000FF"/>
                  <w:w w:val="79"/>
                </w:rPr>
                <w:t>18,</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57">
              <w:r>
                <w:rPr>
                  <w:rFonts w:ascii="Times New Roman" w:cs="Times New Roman" w:eastAsia="Times New Roman" w:hAnsi="Times New Roman"/>
                  <w:sz w:val="12"/>
                  <w:szCs w:val="12"/>
                  <w:color w:val="0000FF"/>
                  <w:w w:val="99"/>
                </w:rPr>
                <w:t>2003</w:t>
              </w:r>
            </w:hyperlink>
          </w:p>
        </w:tc>
        <w:tc>
          <w:tcPr>
            <w:tcW w:w="68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6"/>
              </w:rPr>
              <w:t>10(g)(1)</w:t>
            </w:r>
          </w:p>
        </w:tc>
        <w:tc>
          <w:tcPr>
            <w:tcW w:w="2900" w:type="dxa"/>
            <w:vAlign w:val="bottom"/>
            <w:gridSpan w:val="20"/>
          </w:tcPr>
          <w:p>
            <w:pPr>
              <w:ind w:left="20"/>
              <w:spacing w:after="0" w:line="139" w:lineRule="exact"/>
              <w:rPr>
                <w:sz w:val="20"/>
                <w:szCs w:val="20"/>
                <w:color w:val="auto"/>
              </w:rPr>
            </w:pPr>
            <w:r>
              <w:rPr>
                <w:rFonts w:ascii="Times New Roman" w:cs="Times New Roman" w:eastAsia="Times New Roman" w:hAnsi="Times New Roman"/>
                <w:sz w:val="13"/>
                <w:szCs w:val="13"/>
                <w:color w:val="auto"/>
              </w:rPr>
              <w:t>—   Stockholder’s Agreement dated as of July 6, 1995</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80" w:type="dxa"/>
            <w:vAlign w:val="bottom"/>
            <w:gridSpan w:val="18"/>
          </w:tcPr>
          <w:p>
            <w:pPr>
              <w:spacing w:after="0" w:line="128" w:lineRule="exact"/>
              <w:rPr>
                <w:sz w:val="20"/>
                <w:szCs w:val="20"/>
                <w:color w:val="auto"/>
              </w:rPr>
            </w:pPr>
            <w:r>
              <w:rPr>
                <w:rFonts w:ascii="Times New Roman" w:cs="Times New Roman" w:eastAsia="Times New Roman" w:hAnsi="Times New Roman"/>
                <w:sz w:val="13"/>
                <w:szCs w:val="13"/>
                <w:color w:val="auto"/>
              </w:rPr>
              <w:t>between Houston Industries Incorporated and</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Time Warner Inc.</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10(g)(2)</w:t>
            </w:r>
          </w:p>
        </w:tc>
        <w:tc>
          <w:tcPr>
            <w:tcW w:w="2900" w:type="dxa"/>
            <w:vAlign w:val="bottom"/>
            <w:gridSpan w:val="20"/>
          </w:tcPr>
          <w:p>
            <w:pPr>
              <w:ind w:left="20"/>
              <w:spacing w:after="0" w:line="132" w:lineRule="exact"/>
              <w:rPr>
                <w:sz w:val="20"/>
                <w:szCs w:val="20"/>
                <w:color w:val="auto"/>
              </w:rPr>
            </w:pPr>
            <w:r>
              <w:rPr>
                <w:rFonts w:ascii="Times New Roman" w:cs="Times New Roman" w:eastAsia="Times New Roman" w:hAnsi="Times New Roman"/>
                <w:sz w:val="13"/>
                <w:szCs w:val="13"/>
                <w:color w:val="auto"/>
              </w:rPr>
              <w:t>—   Amendment to Exhibit 10(g)(1) dated</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November 18, 1996</w:t>
            </w:r>
          </w:p>
        </w:tc>
        <w:tc>
          <w:tcPr>
            <w:tcW w:w="0" w:type="dxa"/>
            <w:vAlign w:val="bottom"/>
          </w:tcPr>
          <w:p>
            <w:pPr>
              <w:spacing w:after="0"/>
              <w:rPr>
                <w:sz w:val="1"/>
                <w:szCs w:val="1"/>
                <w:color w:val="auto"/>
              </w:rPr>
            </w:pPr>
          </w:p>
        </w:tc>
      </w:tr>
      <w:tr>
        <w:trPr>
          <w:trHeight w:val="142"/>
        </w:trPr>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6"/>
              </w:rPr>
              <w:t>10(h)(1)</w:t>
            </w:r>
          </w:p>
        </w:tc>
        <w:tc>
          <w:tcPr>
            <w:tcW w:w="2900" w:type="dxa"/>
            <w:vAlign w:val="bottom"/>
            <w:gridSpan w:val="20"/>
          </w:tcPr>
          <w:p>
            <w:pPr>
              <w:ind w:left="2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8">
              <w:r>
                <w:rPr>
                  <w:rFonts w:ascii="Times New Roman" w:cs="Times New Roman" w:eastAsia="Times New Roman" w:hAnsi="Times New Roman"/>
                  <w:sz w:val="13"/>
                  <w:szCs w:val="13"/>
                  <w:color w:val="0000FF"/>
                </w:rPr>
                <w:t>Master Separation Agreement entered into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58">
              <w:r>
                <w:rPr>
                  <w:rFonts w:ascii="Times New Roman" w:cs="Times New Roman" w:eastAsia="Times New Roman" w:hAnsi="Times New Roman"/>
                  <w:sz w:val="12"/>
                  <w:szCs w:val="12"/>
                  <w:color w:val="0000FF"/>
                </w:rPr>
                <w:t>December 31, 2000 between Reliant Energy,</w:t>
              </w:r>
            </w:hyperlink>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58">
              <w:r>
                <w:rPr>
                  <w:rFonts w:ascii="Times New Roman" w:cs="Times New Roman" w:eastAsia="Times New Roman" w:hAnsi="Times New Roman"/>
                  <w:sz w:val="12"/>
                  <w:szCs w:val="12"/>
                  <w:color w:val="0000FF"/>
                </w:rPr>
                <w:t>Incorporated and Reliant Resources, Inc.</w:t>
              </w:r>
            </w:hyperlink>
          </w:p>
        </w:tc>
        <w:tc>
          <w:tcPr>
            <w:tcW w:w="200" w:type="dxa"/>
            <w:vAlign w:val="bottom"/>
            <w:tcBorders>
              <w:top w:val="single" w:sz="8" w:color="0000FF"/>
            </w:tcBorders>
          </w:tcPr>
          <w:p>
            <w:pPr>
              <w:spacing w:after="0"/>
              <w:rPr>
                <w:sz w:val="9"/>
                <w:szCs w:val="9"/>
                <w:color w:val="auto"/>
              </w:rPr>
            </w:pPr>
          </w:p>
        </w:tc>
        <w:tc>
          <w:tcPr>
            <w:tcW w:w="300" w:type="dxa"/>
            <w:vAlign w:val="bottom"/>
            <w:gridSpan w:val="10"/>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07124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59">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December 22, 2008</w:t>
      </w:r>
    </w:p>
    <w:p>
      <w:pPr>
        <w:spacing w:after="0" w:line="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2"/>
          <w:szCs w:val="12"/>
          <w:color w:val="auto"/>
        </w:rPr>
        <w:t>CenterPoint Energy’s Quarterly Report on Form 10-Q for the quarter ended March 31, 2011</w:t>
      </w:r>
    </w:p>
    <w:p>
      <w:pPr>
        <w:spacing w:after="0" w:line="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December 9, 2019</w:t>
      </w:r>
    </w:p>
    <w:p>
      <w:pPr>
        <w:spacing w:after="0" w:line="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2"/>
          <w:szCs w:val="12"/>
          <w:color w:val="auto"/>
        </w:rPr>
        <w:t>CenterPoint Energy’s Quarterly Report on Form 10-Q for the quarter ended March 31, 2022</w:t>
      </w:r>
    </w:p>
    <w:p>
      <w:pPr>
        <w:spacing w:after="0" w:line="2"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3"/>
          <w:szCs w:val="13"/>
          <w:color w:val="auto"/>
        </w:rPr>
        <w:t>CenterPoint Energy’s Quarterly Report on Form 10-Q for the quarter ended September 30, 2023</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2013</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2013</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2003</w:t>
      </w:r>
    </w:p>
    <w:p>
      <w:pPr>
        <w:spacing w:after="0" w:line="6"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3"/>
          <w:szCs w:val="13"/>
          <w:color w:val="auto"/>
        </w:rPr>
        <w:t>Schedule 13-D dated July 6, 1995</w:t>
      </w:r>
    </w:p>
    <w:p>
      <w:pPr>
        <w:spacing w:after="0" w:line="13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2"/>
          <w:szCs w:val="12"/>
          <w:color w:val="auto"/>
        </w:rPr>
        <w:t>HI’s Form 10-K for the year ended December 31, 1996</w:t>
      </w:r>
    </w:p>
    <w:p>
      <w:pPr>
        <w:ind w:right="20"/>
        <w:spacing w:after="0" w:line="224" w:lineRule="auto"/>
        <w:rPr>
          <w:sz w:val="20"/>
          <w:szCs w:val="20"/>
          <w:color w:val="auto"/>
        </w:rPr>
      </w:pPr>
      <w:r>
        <w:rPr>
          <w:rFonts w:ascii="Times New Roman" w:cs="Times New Roman" w:eastAsia="Times New Roman" w:hAnsi="Times New Roman"/>
          <w:sz w:val="13"/>
          <w:szCs w:val="13"/>
          <w:color w:val="auto"/>
        </w:rPr>
        <w:t>Reliant Energy’s Form 10-Q for the quarter ended March 31, 2001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10.6</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10.18</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10(e)(6)</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10(e)(7)</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5-19351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1-7629</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10(x)(4)</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3" w:lineRule="exact"/>
        <w:rPr>
          <w:sz w:val="20"/>
          <w:szCs w:val="20"/>
          <w:color w:val="auto"/>
        </w:rPr>
      </w:pPr>
    </w:p>
    <w:p>
      <w:pPr>
        <w:sectPr>
          <w:pgSz w:w="11900" w:h="16838" w:orient="portrait"/>
          <w:cols w:equalWidth="0" w:num="3">
            <w:col w:w="4180" w:space="120"/>
            <w:col w:w="1640" w:space="120"/>
            <w:col w:w="5220"/>
          </w:cols>
          <w:pgMar w:left="300" w:top="819" w:right="31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0" w:name="page211"/>
    <w:bookmarkEnd w:id="210"/>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0"/>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10(h)(2)</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600" w:type="dxa"/>
            <w:vAlign w:val="bottom"/>
            <w:gridSpan w:val="28"/>
          </w:tcPr>
          <w:p>
            <w:pPr>
              <w:spacing w:after="0" w:line="138" w:lineRule="exact"/>
              <w:rPr>
                <w:rFonts w:ascii="Times New Roman" w:cs="Times New Roman" w:eastAsia="Times New Roman" w:hAnsi="Times New Roman"/>
                <w:sz w:val="13"/>
                <w:szCs w:val="13"/>
                <w:color w:val="0000FF"/>
              </w:rPr>
            </w:pPr>
            <w:hyperlink r:id="rId361">
              <w:r>
                <w:rPr>
                  <w:rFonts w:ascii="Times New Roman" w:cs="Times New Roman" w:eastAsia="Times New Roman" w:hAnsi="Times New Roman"/>
                  <w:sz w:val="13"/>
                  <w:szCs w:val="13"/>
                  <w:color w:val="0000FF"/>
                </w:rPr>
                <w:t>First Amendment to Exhibit 10(h)(1) effective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61">
              <w:r>
                <w:rPr>
                  <w:rFonts w:ascii="Times New Roman" w:cs="Times New Roman" w:eastAsia="Times New Roman" w:hAnsi="Times New Roman"/>
                  <w:sz w:val="12"/>
                  <w:szCs w:val="12"/>
                  <w:color w:val="0000FF"/>
                </w:rPr>
                <w:t>of February 1, 2003</w:t>
              </w:r>
            </w:hyperlink>
          </w:p>
        </w:tc>
        <w:tc>
          <w:tcPr>
            <w:tcW w:w="1500" w:type="dxa"/>
            <w:vAlign w:val="bottom"/>
            <w:tcBorders>
              <w:top w:val="single" w:sz="8" w:color="0000FF"/>
            </w:tcBorders>
            <w:gridSpan w:val="14"/>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10(h)(3)</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2">
              <w:r>
                <w:rPr>
                  <w:rFonts w:ascii="Times New Roman" w:cs="Times New Roman" w:eastAsia="Times New Roman" w:hAnsi="Times New Roman"/>
                  <w:sz w:val="13"/>
                  <w:szCs w:val="13"/>
                  <w:color w:val="0000FF"/>
                </w:rPr>
                <w:t>Employee Matters Agreement, entered into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362">
              <w:r>
                <w:rPr>
                  <w:rFonts w:ascii="Times New Roman" w:cs="Times New Roman" w:eastAsia="Times New Roman" w:hAnsi="Times New Roman"/>
                  <w:sz w:val="12"/>
                  <w:szCs w:val="12"/>
                  <w:color w:val="0000FF"/>
                </w:rPr>
                <w:t>December 31, 2000, between Reliant Energy,</w:t>
              </w:r>
            </w:hyperlink>
          </w:p>
        </w:tc>
        <w:tc>
          <w:tcPr>
            <w:tcW w:w="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62">
              <w:r>
                <w:rPr>
                  <w:rFonts w:ascii="Times New Roman" w:cs="Times New Roman" w:eastAsia="Times New Roman" w:hAnsi="Times New Roman"/>
                  <w:sz w:val="12"/>
                  <w:szCs w:val="12"/>
                  <w:color w:val="0000FF"/>
                </w:rPr>
                <w:t>Incorporated and Reliant Resources, Inc.</w:t>
              </w:r>
            </w:hyperlink>
          </w:p>
        </w:tc>
        <w:tc>
          <w:tcPr>
            <w:tcW w:w="24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10(h)(4)</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3">
              <w:r>
                <w:rPr>
                  <w:rFonts w:ascii="Times New Roman" w:cs="Times New Roman" w:eastAsia="Times New Roman" w:hAnsi="Times New Roman"/>
                  <w:sz w:val="13"/>
                  <w:szCs w:val="13"/>
                  <w:color w:val="0000FF"/>
                </w:rPr>
                <w:t>Retail Agreement, entered into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63">
              <w:r>
                <w:rPr>
                  <w:rFonts w:ascii="Times New Roman" w:cs="Times New Roman" w:eastAsia="Times New Roman" w:hAnsi="Times New Roman"/>
                  <w:sz w:val="12"/>
                  <w:szCs w:val="12"/>
                  <w:color w:val="0000FF"/>
                </w:rPr>
                <w:t>December 31, 2000, between Reliant</w:t>
              </w:r>
            </w:hyperlink>
          </w:p>
        </w:tc>
        <w:tc>
          <w:tcPr>
            <w:tcW w:w="760" w:type="dxa"/>
            <w:vAlign w:val="bottom"/>
            <w:gridSpan w:val="18"/>
          </w:tcPr>
          <w:p>
            <w:pPr>
              <w:ind w:left="80"/>
              <w:spacing w:after="0" w:line="107" w:lineRule="exact"/>
              <w:rPr>
                <w:rFonts w:ascii="Times New Roman" w:cs="Times New Roman" w:eastAsia="Times New Roman" w:hAnsi="Times New Roman"/>
                <w:sz w:val="12"/>
                <w:szCs w:val="12"/>
                <w:color w:val="0000FF"/>
              </w:rPr>
            </w:pPr>
            <w:hyperlink r:id="rId363">
              <w:r>
                <w:rPr>
                  <w:rFonts w:ascii="Times New Roman" w:cs="Times New Roman" w:eastAsia="Times New Roman" w:hAnsi="Times New Roman"/>
                  <w:sz w:val="12"/>
                  <w:szCs w:val="12"/>
                  <w:color w:val="0000FF"/>
                </w:rPr>
                <w:t>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63">
              <w:r>
                <w:rPr>
                  <w:rFonts w:ascii="Times New Roman" w:cs="Times New Roman" w:eastAsia="Times New Roman" w:hAnsi="Times New Roman"/>
                  <w:sz w:val="12"/>
                  <w:szCs w:val="12"/>
                  <w:color w:val="0000FF"/>
                </w:rPr>
                <w:t>Incorporated and Reliant Resources, Inc.</w:t>
              </w:r>
            </w:hyperlink>
          </w:p>
        </w:tc>
        <w:tc>
          <w:tcPr>
            <w:tcW w:w="220" w:type="dxa"/>
            <w:vAlign w:val="bottom"/>
            <w:tcBorders>
              <w:top w:val="single" w:sz="8" w:color="0000FF"/>
            </w:tcBorders>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10(h)(5)</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4">
              <w:r>
                <w:rPr>
                  <w:rFonts w:ascii="Times New Roman" w:cs="Times New Roman" w:eastAsia="Times New Roman" w:hAnsi="Times New Roman"/>
                  <w:sz w:val="13"/>
                  <w:szCs w:val="13"/>
                  <w:color w:val="0000FF"/>
                </w:rPr>
                <w:t>Tax Allocation Agreement, entered into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364">
              <w:r>
                <w:rPr>
                  <w:rFonts w:ascii="Times New Roman" w:cs="Times New Roman" w:eastAsia="Times New Roman" w:hAnsi="Times New Roman"/>
                  <w:sz w:val="12"/>
                  <w:szCs w:val="12"/>
                  <w:color w:val="0000FF"/>
                </w:rPr>
                <w:t>December 31, 2000, between Reliant Energy,</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64">
              <w:r>
                <w:rPr>
                  <w:rFonts w:ascii="Times New Roman" w:cs="Times New Roman" w:eastAsia="Times New Roman" w:hAnsi="Times New Roman"/>
                  <w:sz w:val="12"/>
                  <w:szCs w:val="12"/>
                  <w:color w:val="0000FF"/>
                </w:rPr>
                <w:t>Incorporated and Reliant Resources, Inc.</w:t>
              </w:r>
            </w:hyperlink>
          </w:p>
        </w:tc>
        <w:tc>
          <w:tcPr>
            <w:tcW w:w="24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10(i)(1)</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5">
              <w:r>
                <w:rPr>
                  <w:rFonts w:ascii="Times New Roman" w:cs="Times New Roman" w:eastAsia="Times New Roman" w:hAnsi="Times New Roman"/>
                  <w:sz w:val="13"/>
                  <w:szCs w:val="13"/>
                  <w:color w:val="0000FF"/>
                </w:rPr>
                <w:t>Separation Agreement entered into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65">
              <w:r>
                <w:rPr>
                  <w:rFonts w:ascii="Times New Roman" w:cs="Times New Roman" w:eastAsia="Times New Roman" w:hAnsi="Times New Roman"/>
                  <w:sz w:val="12"/>
                  <w:szCs w:val="12"/>
                  <w:color w:val="0000FF"/>
                </w:rPr>
                <w:t>August 31, 2002 between CenterPoint</w:t>
              </w:r>
            </w:hyperlink>
          </w:p>
        </w:tc>
        <w:tc>
          <w:tcPr>
            <w:tcW w:w="540" w:type="dxa"/>
            <w:vAlign w:val="bottom"/>
            <w:gridSpan w:val="17"/>
          </w:tcPr>
          <w:p>
            <w:pPr>
              <w:spacing w:after="0" w:line="107" w:lineRule="exact"/>
              <w:rPr>
                <w:rFonts w:ascii="Times New Roman" w:cs="Times New Roman" w:eastAsia="Times New Roman" w:hAnsi="Times New Roman"/>
                <w:sz w:val="12"/>
                <w:szCs w:val="12"/>
                <w:color w:val="0000FF"/>
                <w:w w:val="94"/>
              </w:rPr>
            </w:pPr>
            <w:hyperlink r:id="rId365">
              <w:r>
                <w:rPr>
                  <w:rFonts w:ascii="Times New Roman" w:cs="Times New Roman" w:eastAsia="Times New Roman" w:hAnsi="Times New Roman"/>
                  <w:sz w:val="12"/>
                  <w:szCs w:val="12"/>
                  <w:color w:val="0000FF"/>
                  <w:w w:val="94"/>
                </w:rPr>
                <w:t>Energy and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65">
              <w:r>
                <w:rPr>
                  <w:rFonts w:ascii="Times New Roman" w:cs="Times New Roman" w:eastAsia="Times New Roman" w:hAnsi="Times New Roman"/>
                  <w:sz w:val="12"/>
                  <w:szCs w:val="12"/>
                  <w:color w:val="0000FF"/>
                </w:rPr>
                <w:t>Texas Genco</w:t>
              </w:r>
            </w:hyperlink>
          </w:p>
        </w:tc>
        <w:tc>
          <w:tcPr>
            <w:tcW w:w="190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10(i)(2)</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6">
              <w:r>
                <w:rPr>
                  <w:rFonts w:ascii="Times New Roman" w:cs="Times New Roman" w:eastAsia="Times New Roman" w:hAnsi="Times New Roman"/>
                  <w:sz w:val="13"/>
                  <w:szCs w:val="13"/>
                  <w:color w:val="0000FF"/>
                </w:rPr>
                <w:t>Transition Services Agreement, dated as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8"/>
          </w:tcPr>
          <w:p>
            <w:pPr>
              <w:spacing w:after="0" w:line="107" w:lineRule="exact"/>
              <w:rPr>
                <w:rFonts w:ascii="Times New Roman" w:cs="Times New Roman" w:eastAsia="Times New Roman" w:hAnsi="Times New Roman"/>
                <w:sz w:val="12"/>
                <w:szCs w:val="12"/>
                <w:color w:val="0000FF"/>
              </w:rPr>
            </w:pPr>
            <w:hyperlink r:id="rId366">
              <w:r>
                <w:rPr>
                  <w:rFonts w:ascii="Times New Roman" w:cs="Times New Roman" w:eastAsia="Times New Roman" w:hAnsi="Times New Roman"/>
                  <w:sz w:val="12"/>
                  <w:szCs w:val="12"/>
                  <w:color w:val="0000FF"/>
                </w:rPr>
                <w:t>August 31, 2002, between CenterPoint 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66">
              <w:r>
                <w:rPr>
                  <w:rFonts w:ascii="Times New Roman" w:cs="Times New Roman" w:eastAsia="Times New Roman" w:hAnsi="Times New Roman"/>
                  <w:sz w:val="12"/>
                  <w:szCs w:val="12"/>
                  <w:color w:val="0000FF"/>
                </w:rPr>
                <w:t>and Texas Genco</w:t>
              </w:r>
            </w:hyperlink>
          </w:p>
        </w:tc>
        <w:tc>
          <w:tcPr>
            <w:tcW w:w="1500" w:type="dxa"/>
            <w:vAlign w:val="bottom"/>
            <w:tcBorders>
              <w:top w:val="single" w:sz="8" w:color="0000FF"/>
            </w:tcBorders>
            <w:gridSpan w:val="1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10(i)(3)</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7">
              <w:r>
                <w:rPr>
                  <w:rFonts w:ascii="Times New Roman" w:cs="Times New Roman" w:eastAsia="Times New Roman" w:hAnsi="Times New Roman"/>
                  <w:sz w:val="13"/>
                  <w:szCs w:val="13"/>
                  <w:color w:val="0000FF"/>
                </w:rPr>
                <w:t>Tax Allocation Agreement, dated as of August 31,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367">
              <w:r>
                <w:rPr>
                  <w:rFonts w:ascii="Times New Roman" w:cs="Times New Roman" w:eastAsia="Times New Roman" w:hAnsi="Times New Roman"/>
                  <w:sz w:val="12"/>
                  <w:szCs w:val="12"/>
                  <w:color w:val="0000FF"/>
                </w:rPr>
                <w:t>2002, between CenterPoint Energy and Texas</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67">
              <w:r>
                <w:rPr>
                  <w:rFonts w:ascii="Times New Roman" w:cs="Times New Roman" w:eastAsia="Times New Roman" w:hAnsi="Times New Roman"/>
                  <w:sz w:val="12"/>
                  <w:szCs w:val="12"/>
                  <w:color w:val="0000FF"/>
                </w:rPr>
                <w:t>Genco</w:t>
              </w:r>
            </w:hyperlink>
          </w:p>
        </w:tc>
        <w:tc>
          <w:tcPr>
            <w:tcW w:w="2000" w:type="dxa"/>
            <w:vAlign w:val="bottom"/>
            <w:tcBorders>
              <w:top w:val="single" w:sz="8" w:color="0000FF"/>
            </w:tcBorders>
            <w:gridSpan w:val="1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*10(j)(1)</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8">
              <w:r>
                <w:rPr>
                  <w:rFonts w:ascii="Times New Roman" w:cs="Times New Roman" w:eastAsia="Times New Roman" w:hAnsi="Times New Roman"/>
                  <w:sz w:val="13"/>
                  <w:szCs w:val="13"/>
                  <w:color w:val="0000FF"/>
                </w:rPr>
                <w:t>CenterPoint Energy, Inc. Deferred Compensation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20" w:type="dxa"/>
            <w:vAlign w:val="bottom"/>
            <w:gridSpan w:val="10"/>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8"/>
          </w:tcPr>
          <w:p>
            <w:pPr>
              <w:spacing w:after="0" w:line="107" w:lineRule="exact"/>
              <w:rPr>
                <w:rFonts w:ascii="Times New Roman" w:cs="Times New Roman" w:eastAsia="Times New Roman" w:hAnsi="Times New Roman"/>
                <w:sz w:val="12"/>
                <w:szCs w:val="12"/>
                <w:color w:val="0000FF"/>
              </w:rPr>
            </w:pPr>
            <w:hyperlink r:id="rId368">
              <w:r>
                <w:rPr>
                  <w:rFonts w:ascii="Times New Roman" w:cs="Times New Roman" w:eastAsia="Times New Roman" w:hAnsi="Times New Roman"/>
                  <w:sz w:val="12"/>
                  <w:szCs w:val="12"/>
                  <w:color w:val="0000FF"/>
                </w:rPr>
                <w:t>Plan, as amended and restated effective January 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68">
              <w:r>
                <w:rPr>
                  <w:rFonts w:ascii="Times New Roman" w:cs="Times New Roman" w:eastAsia="Times New Roman" w:hAnsi="Times New Roman"/>
                  <w:sz w:val="12"/>
                  <w:szCs w:val="12"/>
                  <w:color w:val="0000FF"/>
                  <w:w w:val="99"/>
                </w:rPr>
                <w:t>2003</w:t>
              </w:r>
            </w:hyperlink>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294967277"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*10(j)(2)</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9">
              <w:r>
                <w:rPr>
                  <w:rFonts w:ascii="Times New Roman" w:cs="Times New Roman" w:eastAsia="Times New Roman" w:hAnsi="Times New Roman"/>
                  <w:sz w:val="13"/>
                  <w:szCs w:val="13"/>
                  <w:color w:val="0000FF"/>
                </w:rPr>
                <w:t>First Amendment to Exhibit 10(j)(1) effective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369">
              <w:r>
                <w:rPr>
                  <w:rFonts w:ascii="Times New Roman" w:cs="Times New Roman" w:eastAsia="Times New Roman" w:hAnsi="Times New Roman"/>
                  <w:sz w:val="12"/>
                  <w:szCs w:val="12"/>
                  <w:color w:val="0000FF"/>
                </w:rPr>
                <w:t>of January 1, 2008</w:t>
              </w:r>
            </w:hyperlink>
          </w:p>
        </w:tc>
        <w:tc>
          <w:tcPr>
            <w:tcW w:w="2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2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*10(k)(1)</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0">
              <w:r>
                <w:rPr>
                  <w:rFonts w:ascii="Times New Roman" w:cs="Times New Roman" w:eastAsia="Times New Roman" w:hAnsi="Times New Roman"/>
                  <w:sz w:val="13"/>
                  <w:szCs w:val="13"/>
                  <w:color w:val="0000FF"/>
                </w:rPr>
                <w:t>Amended and Restated CenterPoint Energy 2005</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1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8"/>
          </w:tcPr>
          <w:p>
            <w:pPr>
              <w:spacing w:after="0" w:line="107" w:lineRule="exact"/>
              <w:rPr>
                <w:rFonts w:ascii="Times New Roman" w:cs="Times New Roman" w:eastAsia="Times New Roman" w:hAnsi="Times New Roman"/>
                <w:sz w:val="12"/>
                <w:szCs w:val="12"/>
                <w:color w:val="0000FF"/>
              </w:rPr>
            </w:pPr>
            <w:hyperlink r:id="rId370">
              <w:r>
                <w:rPr>
                  <w:rFonts w:ascii="Times New Roman" w:cs="Times New Roman" w:eastAsia="Times New Roman" w:hAnsi="Times New Roman"/>
                  <w:sz w:val="12"/>
                  <w:szCs w:val="12"/>
                  <w:color w:val="0000FF"/>
                </w:rPr>
                <w:t>Deferred Compensation Plan, effective January 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70">
              <w:r>
                <w:rPr>
                  <w:rFonts w:ascii="Times New Roman" w:cs="Times New Roman" w:eastAsia="Times New Roman" w:hAnsi="Times New Roman"/>
                  <w:sz w:val="12"/>
                  <w:szCs w:val="12"/>
                  <w:color w:val="0000FF"/>
                  <w:w w:val="99"/>
                </w:rPr>
                <w:t>2009</w:t>
              </w:r>
            </w:hyperlink>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294967277"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*10(k)(2)</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1">
              <w:r>
                <w:rPr>
                  <w:rFonts w:ascii="Times New Roman" w:cs="Times New Roman" w:eastAsia="Times New Roman" w:hAnsi="Times New Roman"/>
                  <w:sz w:val="13"/>
                  <w:szCs w:val="13"/>
                  <w:color w:val="0000FF"/>
                </w:rPr>
                <w:t>First Amendment to Exhibit 10(k)(1) effective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371">
              <w:r>
                <w:rPr>
                  <w:rFonts w:ascii="Times New Roman" w:cs="Times New Roman" w:eastAsia="Times New Roman" w:hAnsi="Times New Roman"/>
                  <w:sz w:val="12"/>
                  <w:szCs w:val="12"/>
                  <w:color w:val="0000FF"/>
                </w:rPr>
                <w:t>March 1, 2022</w:t>
              </w:r>
            </w:hyperlink>
          </w:p>
        </w:tc>
        <w:tc>
          <w:tcPr>
            <w:tcW w:w="6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10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*10(k)(3)</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2">
              <w:r>
                <w:rPr>
                  <w:rFonts w:ascii="Times New Roman" w:cs="Times New Roman" w:eastAsia="Times New Roman" w:hAnsi="Times New Roman"/>
                  <w:sz w:val="13"/>
                  <w:szCs w:val="13"/>
                  <w:color w:val="0000FF"/>
                </w:rPr>
                <w:t>Second Amendment to Exhibit 10(k)(1) effective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372">
              <w:r>
                <w:rPr>
                  <w:rFonts w:ascii="Times New Roman" w:cs="Times New Roman" w:eastAsia="Times New Roman" w:hAnsi="Times New Roman"/>
                  <w:sz w:val="12"/>
                  <w:szCs w:val="12"/>
                  <w:color w:val="0000FF"/>
                </w:rPr>
                <w:t>May 1, 2022</w:t>
              </w:r>
            </w:hyperlink>
          </w:p>
        </w:tc>
        <w:tc>
          <w:tcPr>
            <w:tcW w:w="10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*10(k)(4)</w:t>
            </w:r>
          </w:p>
        </w:tc>
        <w:tc>
          <w:tcPr>
            <w:tcW w:w="292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3">
              <w:r>
                <w:rPr>
                  <w:rFonts w:ascii="Times New Roman" w:cs="Times New Roman" w:eastAsia="Times New Roman" w:hAnsi="Times New Roman"/>
                  <w:sz w:val="13"/>
                  <w:szCs w:val="13"/>
                  <w:color w:val="0000FF"/>
                </w:rPr>
                <w:t>Third Amendment to Exhibit 10(k)(1) effective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373">
              <w:r>
                <w:rPr>
                  <w:rFonts w:ascii="Times New Roman" w:cs="Times New Roman" w:eastAsia="Times New Roman" w:hAnsi="Times New Roman"/>
                  <w:sz w:val="12"/>
                  <w:szCs w:val="12"/>
                  <w:color w:val="0000FF"/>
                </w:rPr>
                <w:t>October 1, 2023</w:t>
              </w:r>
            </w:hyperlink>
          </w:p>
        </w:tc>
        <w:tc>
          <w:tcPr>
            <w:tcW w:w="18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07124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74">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2002</w:t>
      </w:r>
    </w:p>
    <w:p>
      <w:pPr>
        <w:spacing w:after="0" w:line="6"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3"/>
          <w:szCs w:val="13"/>
          <w:color w:val="auto"/>
        </w:rPr>
        <w:t>Reliant Energy’s Form 10-Q for the quarter ended March 31, 2001</w:t>
      </w:r>
    </w:p>
    <w:p>
      <w:pPr>
        <w:spacing w:after="0" w:line="6"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3"/>
          <w:szCs w:val="13"/>
          <w:color w:val="auto"/>
        </w:rPr>
        <w:t>Reliant Energy’s Form 10-Q for the quarter ended March 31, 2001</w:t>
      </w:r>
    </w:p>
    <w:p>
      <w:pPr>
        <w:spacing w:after="0" w:line="6"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3"/>
          <w:szCs w:val="13"/>
          <w:color w:val="auto"/>
        </w:rPr>
        <w:t>Reliant Energy’s Form 10-Q for the quarter ended March 31, 2001</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2002</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2002</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2002</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2003</w:t>
      </w:r>
    </w:p>
    <w:p>
      <w:pPr>
        <w:spacing w:after="0" w:line="6"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February 20, 2008</w:t>
      </w:r>
    </w:p>
    <w:p>
      <w:pPr>
        <w:spacing w:after="0" w:line="4"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2008</w:t>
      </w:r>
    </w:p>
    <w:p>
      <w:pPr>
        <w:spacing w:after="0" w:line="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April 22, 2022</w:t>
      </w:r>
    </w:p>
    <w:p>
      <w:pPr>
        <w:spacing w:after="0" w:line="4"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2022</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10(bb)(5)</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10.6</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10.8</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10(cc)(1)</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10(cc)(2)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10(cc)(3)</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10.10</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3" w:lineRule="exact"/>
        <w:rPr>
          <w:sz w:val="20"/>
          <w:szCs w:val="20"/>
          <w:color w:val="auto"/>
        </w:rPr>
      </w:pPr>
    </w:p>
    <w:p>
      <w:pPr>
        <w:sectPr>
          <w:pgSz w:w="11900" w:h="16838" w:orient="portrait"/>
          <w:cols w:equalWidth="0" w:num="3">
            <w:col w:w="4180" w:space="120"/>
            <w:col w:w="1640" w:space="120"/>
            <w:col w:w="5220"/>
          </w:cols>
          <w:pgMar w:left="300" w:top="819" w:right="31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1" w:name="page212"/>
    <w:bookmarkEnd w:id="211"/>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19"/>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*10(k)(5)</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620" w:type="dxa"/>
            <w:vAlign w:val="bottom"/>
            <w:gridSpan w:val="24"/>
          </w:tcPr>
          <w:p>
            <w:pPr>
              <w:spacing w:after="0" w:line="138" w:lineRule="exact"/>
              <w:rPr>
                <w:rFonts w:ascii="Times New Roman" w:cs="Times New Roman" w:eastAsia="Times New Roman" w:hAnsi="Times New Roman"/>
                <w:sz w:val="13"/>
                <w:szCs w:val="13"/>
                <w:color w:val="0000FF"/>
              </w:rPr>
            </w:pPr>
            <w:hyperlink r:id="rId376">
              <w:r>
                <w:rPr>
                  <w:rFonts w:ascii="Times New Roman" w:cs="Times New Roman" w:eastAsia="Times New Roman" w:hAnsi="Times New Roman"/>
                  <w:sz w:val="13"/>
                  <w:szCs w:val="13"/>
                  <w:color w:val="0000FF"/>
                </w:rPr>
                <w:t>Partial Termination Amendment to Exhibit 10(k)</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76">
              <w:r>
                <w:rPr>
                  <w:rFonts w:ascii="Times New Roman" w:cs="Times New Roman" w:eastAsia="Times New Roman" w:hAnsi="Times New Roman"/>
                  <w:sz w:val="12"/>
                  <w:szCs w:val="12"/>
                  <w:color w:val="0000FF"/>
                </w:rPr>
                <w:t>(1) effective April 1, 2024</w:t>
              </w:r>
            </w:hyperlink>
          </w:p>
        </w:tc>
        <w:tc>
          <w:tcPr>
            <w:tcW w:w="116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*10(k)(6)</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7">
              <w:r>
                <w:rPr>
                  <w:rFonts w:ascii="Times New Roman" w:cs="Times New Roman" w:eastAsia="Times New Roman" w:hAnsi="Times New Roman"/>
                  <w:sz w:val="13"/>
                  <w:szCs w:val="13"/>
                  <w:color w:val="0000FF"/>
                </w:rPr>
                <w:t>Fifth Amendment to Exhibit 10(k)(1) effective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377">
              <w:r>
                <w:rPr>
                  <w:rFonts w:ascii="Times New Roman" w:cs="Times New Roman" w:eastAsia="Times New Roman" w:hAnsi="Times New Roman"/>
                  <w:sz w:val="12"/>
                  <w:szCs w:val="12"/>
                  <w:color w:val="0000FF"/>
                </w:rPr>
                <w:t>January 1, 2026</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*10(l)(1)</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8">
              <w:r>
                <w:rPr>
                  <w:rFonts w:ascii="Times New Roman" w:cs="Times New Roman" w:eastAsia="Times New Roman" w:hAnsi="Times New Roman"/>
                  <w:sz w:val="13"/>
                  <w:szCs w:val="13"/>
                  <w:color w:val="0000FF"/>
                </w:rPr>
                <w:t>CenterPoint Energy Inc., Short Term Incentive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78">
              <w:r>
                <w:rPr>
                  <w:rFonts w:ascii="Times New Roman" w:cs="Times New Roman" w:eastAsia="Times New Roman" w:hAnsi="Times New Roman"/>
                  <w:sz w:val="12"/>
                  <w:szCs w:val="12"/>
                  <w:color w:val="0000FF"/>
                </w:rPr>
                <w:t>Plan, as amended and restated effective January</w:t>
              </w:r>
            </w:hyperlink>
          </w:p>
        </w:tc>
        <w:tc>
          <w:tcPr>
            <w:tcW w:w="240" w:type="dxa"/>
            <w:vAlign w:val="bottom"/>
            <w:tcBorders>
              <w:bottom w:val="single" w:sz="8" w:color="0000FF"/>
            </w:tcBorders>
            <w:gridSpan w:val="11"/>
          </w:tcPr>
          <w:p>
            <w:pPr>
              <w:jc w:val="right"/>
              <w:ind w:right="60"/>
              <w:spacing w:after="0" w:line="107" w:lineRule="exact"/>
              <w:rPr>
                <w:rFonts w:ascii="Times New Roman" w:cs="Times New Roman" w:eastAsia="Times New Roman" w:hAnsi="Times New Roman"/>
                <w:sz w:val="12"/>
                <w:szCs w:val="12"/>
                <w:color w:val="0000FF"/>
              </w:rPr>
            </w:pPr>
            <w:hyperlink r:id="rId378">
              <w:r>
                <w:rPr>
                  <w:rFonts w:ascii="Times New Roman" w:cs="Times New Roman" w:eastAsia="Times New Roman" w:hAnsi="Times New Roman"/>
                  <w:sz w:val="12"/>
                  <w:szCs w:val="12"/>
                  <w:color w:val="0000FF"/>
                </w:rPr>
                <w:t>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78">
              <w:r>
                <w:rPr>
                  <w:rFonts w:ascii="Times New Roman" w:cs="Times New Roman" w:eastAsia="Times New Roman" w:hAnsi="Times New Roman"/>
                  <w:sz w:val="12"/>
                  <w:szCs w:val="12"/>
                  <w:color w:val="0000FF"/>
                  <w:w w:val="99"/>
                </w:rPr>
                <w:t>2022</w:t>
              </w:r>
            </w:hyperlink>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*10(l)(2)</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9">
              <w:r>
                <w:rPr>
                  <w:rFonts w:ascii="Times New Roman" w:cs="Times New Roman" w:eastAsia="Times New Roman" w:hAnsi="Times New Roman"/>
                  <w:sz w:val="13"/>
                  <w:szCs w:val="13"/>
                  <w:color w:val="0000FF"/>
                </w:rPr>
                <w:t>First Amendment to Exhibit 10(l)(1) effective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79">
              <w:r>
                <w:rPr>
                  <w:rFonts w:ascii="Times New Roman" w:cs="Times New Roman" w:eastAsia="Times New Roman" w:hAnsi="Times New Roman"/>
                  <w:sz w:val="12"/>
                  <w:szCs w:val="12"/>
                  <w:color w:val="0000FF"/>
                </w:rPr>
                <w:t>of January 1, 2023</w:t>
              </w:r>
            </w:hyperlink>
          </w:p>
        </w:tc>
        <w:tc>
          <w:tcPr>
            <w:tcW w:w="1520" w:type="dxa"/>
            <w:vAlign w:val="bottom"/>
            <w:tcBorders>
              <w:top w:val="single" w:sz="8" w:color="0000FF"/>
            </w:tcBorders>
            <w:gridSpan w:val="1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*10(m)(1)</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0">
              <w:r>
                <w:rPr>
                  <w:rFonts w:ascii="Times New Roman" w:cs="Times New Roman" w:eastAsia="Times New Roman" w:hAnsi="Times New Roman"/>
                  <w:sz w:val="13"/>
                  <w:szCs w:val="13"/>
                  <w:color w:val="0000FF"/>
                </w:rPr>
                <w:t>Amended and Restated CenterPoint Energy Stock</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80">
              <w:r>
                <w:rPr>
                  <w:rFonts w:ascii="Times New Roman" w:cs="Times New Roman" w:eastAsia="Times New Roman" w:hAnsi="Times New Roman"/>
                  <w:sz w:val="12"/>
                  <w:szCs w:val="12"/>
                  <w:color w:val="0000FF"/>
                </w:rPr>
                <w:t>Plan for Outside Directors</w:t>
              </w:r>
            </w:hyperlink>
          </w:p>
        </w:tc>
        <w:tc>
          <w:tcPr>
            <w:tcW w:w="1240" w:type="dxa"/>
            <w:vAlign w:val="bottom"/>
            <w:tcBorders>
              <w:top w:val="single" w:sz="8" w:color="0000FF"/>
            </w:tcBorders>
            <w:gridSpan w:val="1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*10(m)(2)</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1">
              <w:r>
                <w:rPr>
                  <w:rFonts w:ascii="Times New Roman" w:cs="Times New Roman" w:eastAsia="Times New Roman" w:hAnsi="Times New Roman"/>
                  <w:sz w:val="13"/>
                  <w:szCs w:val="13"/>
                  <w:color w:val="0000FF"/>
                </w:rPr>
                <w:t>First Amendment to Exhibit 10(m)(1),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81">
              <w:r>
                <w:rPr>
                  <w:rFonts w:ascii="Times New Roman" w:cs="Times New Roman" w:eastAsia="Times New Roman" w:hAnsi="Times New Roman"/>
                  <w:sz w:val="12"/>
                  <w:szCs w:val="12"/>
                  <w:color w:val="0000FF"/>
                </w:rPr>
                <w:t>February 19, 2020</w:t>
              </w:r>
            </w:hyperlink>
          </w:p>
        </w:tc>
        <w:tc>
          <w:tcPr>
            <w:tcW w:w="1620" w:type="dxa"/>
            <w:vAlign w:val="bottom"/>
            <w:tcBorders>
              <w:top w:val="single" w:sz="8" w:color="0000FF"/>
            </w:tcBorders>
            <w:gridSpan w:val="17"/>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*10(m)(3)</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2">
              <w:r>
                <w:rPr>
                  <w:rFonts w:ascii="Times New Roman" w:cs="Times New Roman" w:eastAsia="Times New Roman" w:hAnsi="Times New Roman"/>
                  <w:sz w:val="13"/>
                  <w:szCs w:val="13"/>
                  <w:color w:val="0000FF"/>
                </w:rPr>
                <w:t>Second Amendment to Exhibit 10(m)(1), dated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82">
              <w:r>
                <w:rPr>
                  <w:rFonts w:ascii="Times New Roman" w:cs="Times New Roman" w:eastAsia="Times New Roman" w:hAnsi="Times New Roman"/>
                  <w:sz w:val="12"/>
                  <w:szCs w:val="12"/>
                  <w:color w:val="0000FF"/>
                </w:rPr>
                <w:t>of February 14, 2025</w:t>
              </w:r>
            </w:hyperlink>
          </w:p>
        </w:tc>
        <w:tc>
          <w:tcPr>
            <w:tcW w:w="1520" w:type="dxa"/>
            <w:vAlign w:val="bottom"/>
            <w:tcBorders>
              <w:top w:val="single" w:sz="8" w:color="0000FF"/>
            </w:tcBorders>
            <w:gridSpan w:val="1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10(n)</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3">
              <w:r>
                <w:rPr>
                  <w:rFonts w:ascii="Times New Roman" w:cs="Times New Roman" w:eastAsia="Times New Roman" w:hAnsi="Times New Roman"/>
                  <w:sz w:val="13"/>
                  <w:szCs w:val="13"/>
                  <w:color w:val="0000FF"/>
                </w:rPr>
                <w:t>City of Houston Franchise Ordinance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10(o)(1)</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4">
              <w:r>
                <w:rPr>
                  <w:rFonts w:ascii="Times New Roman" w:cs="Times New Roman" w:eastAsia="Times New Roman" w:hAnsi="Times New Roman"/>
                  <w:sz w:val="13"/>
                  <w:szCs w:val="13"/>
                  <w:color w:val="0000FF"/>
                </w:rPr>
                <w:t>Amended and Restated HL&amp;P Executive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84">
              <w:r>
                <w:rPr>
                  <w:rFonts w:ascii="Times New Roman" w:cs="Times New Roman" w:eastAsia="Times New Roman" w:hAnsi="Times New Roman"/>
                  <w:sz w:val="12"/>
                  <w:szCs w:val="12"/>
                  <w:color w:val="0000FF"/>
                </w:rPr>
                <w:t>Incentive Compensation Plan effective as</w:t>
              </w:r>
            </w:hyperlink>
          </w:p>
        </w:tc>
        <w:tc>
          <w:tcPr>
            <w:tcW w:w="40" w:type="dxa"/>
            <w:vAlign w:val="bottom"/>
          </w:tcPr>
          <w:p>
            <w:pPr>
              <w:spacing w:after="0"/>
              <w:rPr>
                <w:sz w:val="9"/>
                <w:szCs w:val="9"/>
                <w:color w:val="auto"/>
              </w:rPr>
            </w:pPr>
          </w:p>
        </w:tc>
        <w:tc>
          <w:tcPr>
            <w:tcW w:w="480" w:type="dxa"/>
            <w:vAlign w:val="bottom"/>
            <w:gridSpan w:val="14"/>
          </w:tcPr>
          <w:p>
            <w:pPr>
              <w:spacing w:after="0" w:line="107" w:lineRule="exact"/>
              <w:rPr>
                <w:rFonts w:ascii="Times New Roman" w:cs="Times New Roman" w:eastAsia="Times New Roman" w:hAnsi="Times New Roman"/>
                <w:sz w:val="12"/>
                <w:szCs w:val="12"/>
                <w:color w:val="0000FF"/>
              </w:rPr>
            </w:pPr>
            <w:hyperlink r:id="rId384">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84">
              <w:r>
                <w:rPr>
                  <w:rFonts w:ascii="Times New Roman" w:cs="Times New Roman" w:eastAsia="Times New Roman" w:hAnsi="Times New Roman"/>
                  <w:sz w:val="12"/>
                  <w:szCs w:val="12"/>
                  <w:color w:val="0000FF"/>
                </w:rPr>
                <w:t>January 1, 1985</w:t>
              </w:r>
            </w:hyperlink>
          </w:p>
        </w:tc>
        <w:tc>
          <w:tcPr>
            <w:tcW w:w="1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10(o)(2)</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5">
              <w:r>
                <w:rPr>
                  <w:rFonts w:ascii="Times New Roman" w:cs="Times New Roman" w:eastAsia="Times New Roman" w:hAnsi="Times New Roman"/>
                  <w:sz w:val="13"/>
                  <w:szCs w:val="13"/>
                  <w:color w:val="0000FF"/>
                </w:rPr>
                <w:t>First Amendment to Exhibit 10(o)(1) effective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85">
              <w:r>
                <w:rPr>
                  <w:rFonts w:ascii="Times New Roman" w:cs="Times New Roman" w:eastAsia="Times New Roman" w:hAnsi="Times New Roman"/>
                  <w:sz w:val="12"/>
                  <w:szCs w:val="12"/>
                  <w:color w:val="0000FF"/>
                </w:rPr>
                <w:t>of January 1, 2008</w:t>
              </w:r>
            </w:hyperlink>
          </w:p>
        </w:tc>
        <w:tc>
          <w:tcPr>
            <w:tcW w:w="1560" w:type="dxa"/>
            <w:vAlign w:val="bottom"/>
            <w:tcBorders>
              <w:top w:val="single" w:sz="8" w:color="0000FF"/>
            </w:tcBorders>
            <w:gridSpan w:val="14"/>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*10(p)(1)</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6">
              <w:r>
                <w:rPr>
                  <w:rFonts w:ascii="Times New Roman" w:cs="Times New Roman" w:eastAsia="Times New Roman" w:hAnsi="Times New Roman"/>
                  <w:sz w:val="13"/>
                  <w:szCs w:val="13"/>
                  <w:color w:val="0000FF"/>
                </w:rPr>
                <w:t>CenterPoint Energy, Inc. 2009 Long Term</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86">
              <w:r>
                <w:rPr>
                  <w:rFonts w:ascii="Times New Roman" w:cs="Times New Roman" w:eastAsia="Times New Roman" w:hAnsi="Times New Roman"/>
                  <w:sz w:val="12"/>
                  <w:szCs w:val="12"/>
                  <w:color w:val="0000FF"/>
                </w:rPr>
                <w:t>Incentive Plan</w:t>
              </w:r>
            </w:hyperlink>
          </w:p>
        </w:tc>
        <w:tc>
          <w:tcPr>
            <w:tcW w:w="1340" w:type="dxa"/>
            <w:vAlign w:val="bottom"/>
            <w:tcBorders>
              <w:top w:val="single" w:sz="8" w:color="0000FF"/>
            </w:tcBorders>
            <w:gridSpan w:val="7"/>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*10(p)(2)</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7">
              <w:r>
                <w:rPr>
                  <w:rFonts w:ascii="Times New Roman" w:cs="Times New Roman" w:eastAsia="Times New Roman" w:hAnsi="Times New Roman"/>
                  <w:sz w:val="13"/>
                  <w:szCs w:val="13"/>
                  <w:color w:val="0000FF"/>
                </w:rPr>
                <w:t>Form of Performance Award Agreement for</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20" w:type="dxa"/>
            <w:vAlign w:val="bottom"/>
            <w:gridSpan w:val="9"/>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gridSpan w:val="24"/>
          </w:tcPr>
          <w:p>
            <w:pPr>
              <w:spacing w:after="0" w:line="107" w:lineRule="exact"/>
              <w:rPr>
                <w:rFonts w:ascii="Times New Roman" w:cs="Times New Roman" w:eastAsia="Times New Roman" w:hAnsi="Times New Roman"/>
                <w:sz w:val="12"/>
                <w:szCs w:val="12"/>
                <w:color w:val="0000FF"/>
              </w:rPr>
            </w:pPr>
            <w:hyperlink r:id="rId387">
              <w:r>
                <w:rPr>
                  <w:rFonts w:ascii="Times New Roman" w:cs="Times New Roman" w:eastAsia="Times New Roman" w:hAnsi="Times New Roman"/>
                  <w:sz w:val="12"/>
                  <w:szCs w:val="12"/>
                  <w:color w:val="0000FF"/>
                </w:rPr>
                <w:t>20XX - 20XX Performance Cycle under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87">
              <w:r>
                <w:rPr>
                  <w:rFonts w:ascii="Times New Roman" w:cs="Times New Roman" w:eastAsia="Times New Roman" w:hAnsi="Times New Roman"/>
                  <w:sz w:val="12"/>
                  <w:szCs w:val="12"/>
                  <w:color w:val="0000FF"/>
                </w:rPr>
                <w:t>10(p)(1)</w:t>
              </w:r>
            </w:hyperlink>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0" w:type="dxa"/>
            <w:vAlign w:val="bottom"/>
            <w:gridSpan w:val="1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*10(p)(3)</w:t>
            </w:r>
          </w:p>
        </w:tc>
        <w:tc>
          <w:tcPr>
            <w:tcW w:w="294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8">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bottom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388">
              <w:r>
                <w:rPr>
                  <w:rFonts w:ascii="Times New Roman" w:cs="Times New Roman" w:eastAsia="Times New Roman" w:hAnsi="Times New Roman"/>
                  <w:sz w:val="12"/>
                  <w:szCs w:val="12"/>
                  <w:color w:val="0000FF"/>
                </w:rPr>
                <w:t>(Service-Based Vesting) under Exhibit 10(p)(1)</w:t>
              </w:r>
            </w:hyperlink>
          </w:p>
        </w:tc>
        <w:tc>
          <w:tcPr>
            <w:tcW w:w="120" w:type="dxa"/>
            <w:vAlign w:val="bottom"/>
            <w:tcBorders>
              <w:top w:val="single" w:sz="8" w:color="0000FF"/>
            </w:tcBorders>
            <w:gridSpan w:val="5"/>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07124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89">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 Form 10-K for the year ended December 31, 2023</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2025</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 Form 10-K for the year ended December 31, 2021</w:t>
      </w:r>
    </w:p>
    <w:p>
      <w:pPr>
        <w:spacing w:after="0" w:line="197"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 Form 10-K for the year ended December 31, 2022</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2018</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2019</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2024</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2005</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2008</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2008</w:t>
      </w:r>
    </w:p>
    <w:p>
      <w:pPr>
        <w:spacing w:after="0" w:line="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2"/>
          <w:szCs w:val="12"/>
          <w:color w:val="auto"/>
        </w:rPr>
        <w:t>CenterPoint Energy’s Schedule 14A dated March 13, 2009</w:t>
      </w: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2019</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10(l)</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10(l)</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10(l)(2)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10(n)(2)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10(m)(2)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A</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10(q)(2)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10(q)(5)</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3" w:lineRule="exact"/>
        <w:rPr>
          <w:sz w:val="20"/>
          <w:szCs w:val="20"/>
          <w:color w:val="auto"/>
        </w:rPr>
      </w:pPr>
    </w:p>
    <w:p>
      <w:pPr>
        <w:sectPr>
          <w:pgSz w:w="11900" w:h="16838" w:orient="portrait"/>
          <w:cols w:equalWidth="0" w:num="3">
            <w:col w:w="4180" w:space="120"/>
            <w:col w:w="1640" w:space="120"/>
            <w:col w:w="5220"/>
          </w:cols>
          <w:pgMar w:left="300" w:top="819" w:right="31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2" w:name="page213"/>
    <w:bookmarkEnd w:id="212"/>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60" w:type="dxa"/>
            <w:vAlign w:val="bottom"/>
            <w:gridSpan w:val="4"/>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60" w:type="dxa"/>
            <w:vAlign w:val="bottom"/>
            <w:gridSpan w:val="4"/>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rPr>
              <w:t>*10(p)(4)</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gridSpan w:val="4"/>
          </w:tcPr>
          <w:p>
            <w:pPr>
              <w:spacing w:after="0" w:line="138" w:lineRule="exact"/>
              <w:rPr>
                <w:rFonts w:ascii="Times New Roman" w:cs="Times New Roman" w:eastAsia="Times New Roman" w:hAnsi="Times New Roman"/>
                <w:sz w:val="13"/>
                <w:szCs w:val="13"/>
                <w:color w:val="0000FF"/>
                <w:w w:val="99"/>
              </w:rPr>
            </w:pPr>
            <w:hyperlink r:id="rId391">
              <w:r>
                <w:rPr>
                  <w:rFonts w:ascii="Times New Roman" w:cs="Times New Roman" w:eastAsia="Times New Roman" w:hAnsi="Times New Roman"/>
                  <w:sz w:val="13"/>
                  <w:szCs w:val="13"/>
                  <w:color w:val="0000FF"/>
                  <w:w w:val="99"/>
                </w:rPr>
                <w:t>Form of Restricted Stock Unit Award Agreement</w:t>
              </w:r>
            </w:hyperlink>
          </w:p>
        </w:tc>
        <w:tc>
          <w:tcPr>
            <w:tcW w:w="100" w:type="dxa"/>
            <w:vAlign w:val="bottom"/>
          </w:tcPr>
          <w:p>
            <w:pPr>
              <w:spacing w:after="0"/>
              <w:rPr>
                <w:sz w:val="11"/>
                <w:szCs w:val="11"/>
                <w:color w:val="auto"/>
              </w:rPr>
            </w:pPr>
          </w:p>
        </w:tc>
        <w:tc>
          <w:tcPr>
            <w:tcW w:w="1680" w:type="dxa"/>
            <w:vAlign w:val="bottom"/>
            <w:tcBorders>
              <w:top w:val="single" w:sz="8" w:color="auto"/>
            </w:tcBorders>
          </w:tcPr>
          <w:p>
            <w:pPr>
              <w:ind w:left="20"/>
              <w:spacing w:after="0" w:line="138" w:lineRule="exact"/>
              <w:rPr>
                <w:sz w:val="20"/>
                <w:szCs w:val="20"/>
                <w:color w:val="auto"/>
              </w:rPr>
            </w:pPr>
            <w:r>
              <w:rPr>
                <w:rFonts w:ascii="Times New Roman" w:cs="Times New Roman" w:eastAsia="Times New Roman" w:hAnsi="Times New Roman"/>
                <w:sz w:val="13"/>
                <w:szCs w:val="13"/>
                <w:color w:val="auto"/>
                <w:w w:val="98"/>
              </w:rPr>
              <w:t>CenterPoint Energy’s Form 8-K</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91">
              <w:r>
                <w:rPr>
                  <w:rFonts w:ascii="Times New Roman" w:cs="Times New Roman" w:eastAsia="Times New Roman" w:hAnsi="Times New Roman"/>
                  <w:sz w:val="12"/>
                  <w:szCs w:val="12"/>
                  <w:color w:val="0000FF"/>
                </w:rPr>
                <w:t>(Retention, Service-Based Vesting) under Exhibit</w:t>
              </w:r>
            </w:hyperlink>
          </w:p>
        </w:tc>
        <w:tc>
          <w:tcPr>
            <w:tcW w:w="20" w:type="dxa"/>
            <w:vAlign w:val="bottom"/>
            <w:tcBorders>
              <w:bottom w:val="single" w:sz="8" w:color="0000FF"/>
            </w:tcBorders>
          </w:tcPr>
          <w:p>
            <w:pPr>
              <w:spacing w:after="0"/>
              <w:rPr>
                <w:sz w:val="9"/>
                <w:szCs w:val="9"/>
                <w:color w:val="auto"/>
              </w:rPr>
            </w:pPr>
          </w:p>
        </w:tc>
        <w:tc>
          <w:tcPr>
            <w:tcW w:w="160" w:type="dxa"/>
            <w:vAlign w:val="bottom"/>
            <w:gridSpan w:val="2"/>
          </w:tcPr>
          <w:p>
            <w:pPr>
              <w:spacing w:after="0"/>
              <w:rPr>
                <w:sz w:val="9"/>
                <w:szCs w:val="9"/>
                <w:color w:val="auto"/>
              </w:rPr>
            </w:pPr>
          </w:p>
        </w:tc>
        <w:tc>
          <w:tcPr>
            <w:tcW w:w="16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dated June 30, 2020</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3"/>
          </w:tcPr>
          <w:p>
            <w:pPr>
              <w:spacing w:after="0" w:line="107" w:lineRule="exact"/>
              <w:rPr>
                <w:rFonts w:ascii="Times New Roman" w:cs="Times New Roman" w:eastAsia="Times New Roman" w:hAnsi="Times New Roman"/>
                <w:sz w:val="12"/>
                <w:szCs w:val="12"/>
                <w:color w:val="0000FF"/>
              </w:rPr>
            </w:pPr>
            <w:hyperlink r:id="rId391">
              <w:r>
                <w:rPr>
                  <w:rFonts w:ascii="Times New Roman" w:cs="Times New Roman" w:eastAsia="Times New Roman" w:hAnsi="Times New Roman"/>
                  <w:sz w:val="12"/>
                  <w:szCs w:val="12"/>
                  <w:color w:val="0000FF"/>
                </w:rPr>
                <w:t>10(p)(1)</w:t>
              </w:r>
            </w:hyperlink>
          </w:p>
        </w:tc>
        <w:tc>
          <w:tcPr>
            <w:tcW w:w="16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ectPr>
          <w:pgSz w:w="11900" w:h="16838" w:orient="portrait"/>
          <w:cols w:equalWidth="0" w:num="2">
            <w:col w:w="5960" w:space="100"/>
            <w:col w:w="5220"/>
          </w:cols>
          <w:pgMar w:left="300" w:top="819" w:right="319" w:bottom="1440" w:gutter="0" w:footer="0" w:header="0"/>
        </w:sectPr>
      </w:pPr>
    </w:p>
    <w:p>
      <w:pPr>
        <w:jc w:val="right"/>
        <w:ind w:left="400" w:right="80"/>
        <w:spacing w:after="0" w:line="235" w:lineRule="auto"/>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 xml:space="preserve">*10(p)(5)      —   </w:t>
      </w:r>
      <w:hyperlink r:id="rId392">
        <w:r>
          <w:rPr>
            <w:rFonts w:ascii="Times New Roman" w:cs="Times New Roman" w:eastAsia="Times New Roman" w:hAnsi="Times New Roman"/>
            <w:sz w:val="13"/>
            <w:szCs w:val="13"/>
            <w:u w:val="single" w:color="auto"/>
            <w:color w:val="0000FF"/>
          </w:rPr>
          <w:t>Form of Performance Award Agreement for the</w:t>
        </w:r>
      </w:hyperlink>
      <w:r>
        <w:rPr>
          <w:rFonts w:ascii="Times New Roman" w:cs="Times New Roman" w:eastAsia="Times New Roman" w:hAnsi="Times New Roman"/>
          <w:sz w:val="13"/>
          <w:szCs w:val="13"/>
          <w:color w:val="auto"/>
        </w:rPr>
        <w:t xml:space="preserve"> </w:t>
      </w:r>
      <w:hyperlink r:id="rId392">
        <w:r>
          <w:rPr>
            <w:rFonts w:ascii="Times New Roman" w:cs="Times New Roman" w:eastAsia="Times New Roman" w:hAnsi="Times New Roman"/>
            <w:sz w:val="13"/>
            <w:szCs w:val="13"/>
            <w:u w:val="single" w:color="auto"/>
            <w:color w:val="0000FF"/>
          </w:rPr>
          <w:t>Chief Executive Officer under Exhibit 10(p)(1)</w:t>
        </w:r>
      </w:hyperlink>
    </w:p>
    <w:p>
      <w:pPr>
        <w:spacing w:after="0" w:line="4" w:lineRule="exact"/>
        <w:rPr>
          <w:sz w:val="20"/>
          <w:szCs w:val="20"/>
          <w:color w:val="auto"/>
        </w:rPr>
      </w:pPr>
    </w:p>
    <w:p>
      <w:pPr>
        <w:ind w:left="1300" w:hanging="1196"/>
        <w:spacing w:after="0" w:line="224" w:lineRule="auto"/>
        <w:tabs>
          <w:tab w:leader="none" w:pos="12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*10(p)(6)</w:t>
      </w:r>
      <w:r>
        <w:rPr>
          <w:sz w:val="20"/>
          <w:szCs w:val="20"/>
          <w:color w:val="auto"/>
        </w:rPr>
        <w:tab/>
      </w:r>
      <w:r>
        <w:rPr>
          <w:rFonts w:ascii="Times New Roman" w:cs="Times New Roman" w:eastAsia="Times New Roman" w:hAnsi="Times New Roman"/>
          <w:sz w:val="13"/>
          <w:szCs w:val="13"/>
          <w:color w:val="auto"/>
        </w:rPr>
        <w:t xml:space="preserve">— </w:t>
      </w:r>
      <w:hyperlink r:id="rId393">
        <w:r>
          <w:rPr>
            <w:rFonts w:ascii="Times New Roman" w:cs="Times New Roman" w:eastAsia="Times New Roman" w:hAnsi="Times New Roman"/>
            <w:sz w:val="13"/>
            <w:szCs w:val="13"/>
            <w:u w:val="single" w:color="auto"/>
            <w:color w:val="0000FF"/>
          </w:rPr>
          <w:t>Form of Restricted Stock Unit Award Agreement</w:t>
        </w:r>
      </w:hyperlink>
      <w:r>
        <w:rPr>
          <w:rFonts w:ascii="Times New Roman" w:cs="Times New Roman" w:eastAsia="Times New Roman" w:hAnsi="Times New Roman"/>
          <w:sz w:val="13"/>
          <w:szCs w:val="13"/>
          <w:color w:val="auto"/>
        </w:rPr>
        <w:t xml:space="preserve"> </w:t>
      </w:r>
      <w:hyperlink r:id="rId393">
        <w:r>
          <w:rPr>
            <w:rFonts w:ascii="Times New Roman" w:cs="Times New Roman" w:eastAsia="Times New Roman" w:hAnsi="Times New Roman"/>
            <w:sz w:val="13"/>
            <w:szCs w:val="13"/>
            <w:u w:val="single" w:color="auto"/>
            <w:color w:val="0000FF"/>
          </w:rPr>
          <w:t>for the Chief Executive Officer under Exhibit</w:t>
        </w:r>
      </w:hyperlink>
      <w:r>
        <w:rPr>
          <w:rFonts w:ascii="Times New Roman" w:cs="Times New Roman" w:eastAsia="Times New Roman" w:hAnsi="Times New Roman"/>
          <w:sz w:val="13"/>
          <w:szCs w:val="13"/>
          <w:u w:val="single" w:color="auto"/>
          <w:color w:val="0000FF"/>
        </w:rPr>
        <w:t xml:space="preserve"> </w:t>
      </w:r>
      <w:hyperlink r:id="rId393">
        <w:r>
          <w:rPr>
            <w:rFonts w:ascii="Times New Roman" w:cs="Times New Roman" w:eastAsia="Times New Roman" w:hAnsi="Times New Roman"/>
            <w:sz w:val="13"/>
            <w:szCs w:val="13"/>
            <w:u w:val="single" w:color="auto"/>
            <w:color w:val="0000FF"/>
          </w:rPr>
          <w:t>10(p)(1)</w:t>
        </w:r>
      </w:hyperlink>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June 30, 2020</w:t>
      </w:r>
    </w:p>
    <w:p>
      <w:pPr>
        <w:spacing w:after="0" w:line="4" w:lineRule="exact"/>
        <w:rPr>
          <w:rFonts w:ascii="Times New Roman" w:cs="Times New Roman" w:eastAsia="Times New Roman" w:hAnsi="Times New Roman"/>
          <w:sz w:val="13"/>
          <w:szCs w:val="13"/>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June 30, 2020</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65"/>
        </w:trPr>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1-31447</w:t>
            </w: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10.2</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1-31447</w:t>
            </w: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10.3</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254" w:lineRule="exact"/>
        <w:rPr>
          <w:rFonts w:ascii="Times New Roman" w:cs="Times New Roman" w:eastAsia="Times New Roman" w:hAnsi="Times New Roman"/>
          <w:sz w:val="13"/>
          <w:szCs w:val="13"/>
          <w:color w:val="auto"/>
        </w:rPr>
      </w:pPr>
    </w:p>
    <w:p>
      <w:pPr>
        <w:sectPr>
          <w:pgSz w:w="11900" w:h="16838" w:orient="portrait"/>
          <w:cols w:equalWidth="0" w:num="3">
            <w:col w:w="4100" w:space="200"/>
            <w:col w:w="1620" w:space="480"/>
            <w:col w:w="4880"/>
          </w:cols>
          <w:pgMar w:left="300" w:top="819" w:right="319" w:bottom="1440" w:gutter="0" w:footer="0" w:header="0"/>
          <w:type w:val="continuous"/>
        </w:sectPr>
      </w:pPr>
    </w:p>
    <w:tbl>
      <w:tblPr>
        <w:tblLayout w:type="fixed"/>
        <w:tblInd w:w="400" w:type="dxa"/>
        <w:tblCellMar>
          <w:top w:w="0" w:type="dxa"/>
          <w:left w:w="0" w:type="dxa"/>
          <w:bottom w:w="0" w:type="dxa"/>
          <w:right w:w="0" w:type="dxa"/>
        </w:tblCellMar>
      </w:tblPr>
      <w:tr>
        <w:trPr>
          <w:trHeight w:val="144"/>
        </w:trPr>
        <w:tc>
          <w:tcPr>
            <w:tcW w:w="7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*10(p)(7)</w:t>
            </w:r>
          </w:p>
        </w:tc>
        <w:tc>
          <w:tcPr>
            <w:tcW w:w="3120" w:type="dxa"/>
            <w:vAlign w:val="bottom"/>
            <w:gridSpan w:val="5"/>
          </w:tcPr>
          <w:p>
            <w:pPr>
              <w:ind w:left="200"/>
              <w:spacing w:after="0" w:line="144"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94">
              <w:r>
                <w:rPr>
                  <w:rFonts w:ascii="Times New Roman" w:cs="Times New Roman" w:eastAsia="Times New Roman" w:hAnsi="Times New Roman"/>
                  <w:sz w:val="13"/>
                  <w:szCs w:val="13"/>
                  <w:color w:val="0000FF"/>
                </w:rPr>
                <w:t>Form of Award Agreement for Performance Share</w:t>
              </w:r>
            </w:hyperlink>
          </w:p>
        </w:tc>
        <w:tc>
          <w:tcPr>
            <w:tcW w:w="16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w w:val="96"/>
              </w:rPr>
              <w:t>CenterPoint Energy’s Form 8-</w:t>
            </w:r>
          </w:p>
        </w:tc>
      </w:tr>
      <w:tr>
        <w:trPr>
          <w:trHeight w:val="107"/>
        </w:trPr>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560" w:type="dxa"/>
            <w:vAlign w:val="bottom"/>
            <w:tcBorders>
              <w:top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94">
              <w:r>
                <w:rPr>
                  <w:rFonts w:ascii="Times New Roman" w:cs="Times New Roman" w:eastAsia="Times New Roman" w:hAnsi="Times New Roman"/>
                  <w:sz w:val="12"/>
                  <w:szCs w:val="12"/>
                  <w:color w:val="0000FF"/>
                </w:rPr>
                <w:t>Units for Named Executive Officers (Separation)</w:t>
              </w:r>
            </w:hyperlink>
          </w:p>
        </w:tc>
        <w:tc>
          <w:tcPr>
            <w:tcW w:w="60" w:type="dxa"/>
            <w:vAlign w:val="bottom"/>
          </w:tcPr>
          <w:p>
            <w:pPr>
              <w:spacing w:after="0"/>
              <w:rPr>
                <w:sz w:val="9"/>
                <w:szCs w:val="9"/>
                <w:color w:val="auto"/>
              </w:rPr>
            </w:pPr>
          </w:p>
        </w:tc>
        <w:tc>
          <w:tcPr>
            <w:tcW w:w="162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color w:val="auto"/>
              </w:rPr>
              <w:t>K/A dated June 30, 2020</w:t>
            </w:r>
          </w:p>
        </w:tc>
      </w:tr>
      <w:tr>
        <w:trPr>
          <w:trHeight w:val="107"/>
        </w:trPr>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394">
              <w:r>
                <w:rPr>
                  <w:rFonts w:ascii="Times New Roman" w:cs="Times New Roman" w:eastAsia="Times New Roman" w:hAnsi="Times New Roman"/>
                  <w:sz w:val="12"/>
                  <w:szCs w:val="12"/>
                  <w:color w:val="0000FF"/>
                </w:rPr>
                <w:t>under Exhibit 10(p)(1)</w:t>
              </w:r>
            </w:hyperlink>
          </w:p>
        </w:tc>
        <w:tc>
          <w:tcPr>
            <w:tcW w:w="1340" w:type="dxa"/>
            <w:vAlign w:val="bottom"/>
            <w:tcBorders>
              <w:top w:val="single" w:sz="8" w:color="0000FF"/>
            </w:tcBorders>
          </w:tcPr>
          <w:p>
            <w:pPr>
              <w:spacing w:after="0"/>
              <w:rPr>
                <w:sz w:val="9"/>
                <w:szCs w:val="9"/>
                <w:color w:val="auto"/>
              </w:rPr>
            </w:pPr>
          </w:p>
        </w:tc>
        <w:tc>
          <w:tcPr>
            <w:tcW w:w="12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2"/>
              </w:rPr>
              <w:t>1-31447</w:t>
            </w: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10.1</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258" w:lineRule="exact"/>
        <w:rPr>
          <w:sz w:val="20"/>
          <w:szCs w:val="20"/>
          <w:color w:val="auto"/>
        </w:rPr>
      </w:pPr>
    </w:p>
    <w:p>
      <w:pPr>
        <w:sectPr>
          <w:pgSz w:w="11900" w:h="16838" w:orient="portrait"/>
          <w:cols w:equalWidth="0" w:num="2">
            <w:col w:w="5840" w:space="560"/>
            <w:col w:w="4880"/>
          </w:cols>
          <w:pgMar w:left="300" w:top="819" w:right="319" w:bottom="1440" w:gutter="0" w:footer="0" w:header="0"/>
          <w:type w:val="continuous"/>
        </w:sectPr>
      </w:pPr>
    </w:p>
    <w:p>
      <w:pPr>
        <w:ind w:left="1300" w:hanging="1196"/>
        <w:spacing w:after="0" w:line="224" w:lineRule="auto"/>
        <w:tabs>
          <w:tab w:leader="none" w:pos="12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*10(p)(8)</w:t>
      </w:r>
      <w:r>
        <w:rPr>
          <w:sz w:val="20"/>
          <w:szCs w:val="20"/>
          <w:color w:val="auto"/>
        </w:rPr>
        <w:tab/>
      </w:r>
      <w:r>
        <w:rPr>
          <w:rFonts w:ascii="Times New Roman" w:cs="Times New Roman" w:eastAsia="Times New Roman" w:hAnsi="Times New Roman"/>
          <w:sz w:val="13"/>
          <w:szCs w:val="13"/>
          <w:color w:val="auto"/>
        </w:rPr>
        <w:t xml:space="preserve">— </w:t>
      </w:r>
      <w:hyperlink r:id="rId395">
        <w:r>
          <w:rPr>
            <w:rFonts w:ascii="Times New Roman" w:cs="Times New Roman" w:eastAsia="Times New Roman" w:hAnsi="Times New Roman"/>
            <w:sz w:val="13"/>
            <w:szCs w:val="13"/>
            <w:u w:val="single" w:color="auto"/>
            <w:color w:val="0000FF"/>
          </w:rPr>
          <w:t>Form of Award Agreement for Restricted Stock</w:t>
        </w:r>
      </w:hyperlink>
      <w:r>
        <w:rPr>
          <w:rFonts w:ascii="Times New Roman" w:cs="Times New Roman" w:eastAsia="Times New Roman" w:hAnsi="Times New Roman"/>
          <w:sz w:val="13"/>
          <w:szCs w:val="13"/>
          <w:color w:val="auto"/>
        </w:rPr>
        <w:t xml:space="preserve"> </w:t>
      </w:r>
      <w:hyperlink r:id="rId395">
        <w:r>
          <w:rPr>
            <w:rFonts w:ascii="Times New Roman" w:cs="Times New Roman" w:eastAsia="Times New Roman" w:hAnsi="Times New Roman"/>
            <w:sz w:val="13"/>
            <w:szCs w:val="13"/>
            <w:u w:val="single" w:color="auto"/>
            <w:color w:val="0000FF"/>
          </w:rPr>
          <w:t>Units for Named Executive Officers (Separation)</w:t>
        </w:r>
      </w:hyperlink>
      <w:r>
        <w:rPr>
          <w:rFonts w:ascii="Times New Roman" w:cs="Times New Roman" w:eastAsia="Times New Roman" w:hAnsi="Times New Roman"/>
          <w:sz w:val="13"/>
          <w:szCs w:val="13"/>
          <w:u w:val="single" w:color="auto"/>
          <w:color w:val="0000FF"/>
        </w:rPr>
        <w:t xml:space="preserve"> </w:t>
      </w:r>
      <w:hyperlink r:id="rId395">
        <w:r>
          <w:rPr>
            <w:rFonts w:ascii="Times New Roman" w:cs="Times New Roman" w:eastAsia="Times New Roman" w:hAnsi="Times New Roman"/>
            <w:sz w:val="13"/>
            <w:szCs w:val="13"/>
            <w:u w:val="single" w:color="auto"/>
            <w:color w:val="0000FF"/>
          </w:rPr>
          <w:t>under Exhibit 10(p)(1)</w:t>
        </w:r>
      </w:hyperlink>
    </w:p>
    <w:p>
      <w:pPr>
        <w:spacing w:after="0" w:line="6" w:lineRule="exact"/>
        <w:rPr>
          <w:rFonts w:ascii="Times New Roman" w:cs="Times New Roman" w:eastAsia="Times New Roman" w:hAnsi="Times New Roman"/>
          <w:sz w:val="13"/>
          <w:szCs w:val="13"/>
          <w:color w:val="auto"/>
        </w:rPr>
      </w:pPr>
    </w:p>
    <w:p>
      <w:pPr>
        <w:jc w:val="both"/>
        <w:ind w:left="1300" w:hanging="1196"/>
        <w:spacing w:after="0" w:line="224" w:lineRule="auto"/>
        <w:tabs>
          <w:tab w:leader="none" w:pos="12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*10(p)(9)</w:t>
      </w:r>
      <w:r>
        <w:rPr>
          <w:sz w:val="20"/>
          <w:szCs w:val="20"/>
          <w:color w:val="auto"/>
        </w:rPr>
        <w:tab/>
      </w:r>
      <w:r>
        <w:rPr>
          <w:rFonts w:ascii="Times New Roman" w:cs="Times New Roman" w:eastAsia="Times New Roman" w:hAnsi="Times New Roman"/>
          <w:sz w:val="13"/>
          <w:szCs w:val="13"/>
          <w:color w:val="auto"/>
        </w:rPr>
        <w:t xml:space="preserve">— </w:t>
      </w:r>
      <w:hyperlink r:id="rId396">
        <w:r>
          <w:rPr>
            <w:rFonts w:ascii="Times New Roman" w:cs="Times New Roman" w:eastAsia="Times New Roman" w:hAnsi="Times New Roman"/>
            <w:sz w:val="13"/>
            <w:szCs w:val="13"/>
            <w:u w:val="single" w:color="auto"/>
            <w:color w:val="0000FF"/>
          </w:rPr>
          <w:t>Form of Restricted Stock Unit Award Agreement</w:t>
        </w:r>
      </w:hyperlink>
      <w:r>
        <w:rPr>
          <w:rFonts w:ascii="Times New Roman" w:cs="Times New Roman" w:eastAsia="Times New Roman" w:hAnsi="Times New Roman"/>
          <w:sz w:val="13"/>
          <w:szCs w:val="13"/>
          <w:color w:val="auto"/>
        </w:rPr>
        <w:t xml:space="preserve"> </w:t>
      </w:r>
      <w:hyperlink r:id="rId396">
        <w:r>
          <w:rPr>
            <w:rFonts w:ascii="Times New Roman" w:cs="Times New Roman" w:eastAsia="Times New Roman" w:hAnsi="Times New Roman"/>
            <w:sz w:val="13"/>
            <w:szCs w:val="13"/>
            <w:u w:val="single" w:color="auto"/>
            <w:color w:val="0000FF"/>
          </w:rPr>
          <w:t>(Service-Based Vesting with Performance Goals)</w:t>
        </w:r>
      </w:hyperlink>
      <w:r>
        <w:rPr>
          <w:rFonts w:ascii="Times New Roman" w:cs="Times New Roman" w:eastAsia="Times New Roman" w:hAnsi="Times New Roman"/>
          <w:sz w:val="13"/>
          <w:szCs w:val="13"/>
          <w:u w:val="single" w:color="auto"/>
          <w:color w:val="0000FF"/>
        </w:rPr>
        <w:t xml:space="preserve"> </w:t>
      </w:r>
      <w:hyperlink r:id="rId396">
        <w:r>
          <w:rPr>
            <w:rFonts w:ascii="Times New Roman" w:cs="Times New Roman" w:eastAsia="Times New Roman" w:hAnsi="Times New Roman"/>
            <w:sz w:val="13"/>
            <w:szCs w:val="13"/>
            <w:u w:val="single" w:color="auto"/>
            <w:color w:val="0000FF"/>
          </w:rPr>
          <w:t>under Exhibit 10(p)(1)</w:t>
        </w:r>
      </w:hyperlink>
    </w:p>
    <w:p>
      <w:pPr>
        <w:spacing w:after="0" w:line="6" w:lineRule="exact"/>
        <w:rPr>
          <w:rFonts w:ascii="Times New Roman" w:cs="Times New Roman" w:eastAsia="Times New Roman" w:hAnsi="Times New Roman"/>
          <w:sz w:val="13"/>
          <w:szCs w:val="13"/>
          <w:color w:val="auto"/>
        </w:rPr>
      </w:pPr>
    </w:p>
    <w:p>
      <w:pPr>
        <w:ind w:left="1300" w:hanging="1228"/>
        <w:spacing w:after="0" w:line="224" w:lineRule="auto"/>
        <w:tabs>
          <w:tab w:leader="none" w:pos="12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*10(p)(10)</w:t>
      </w:r>
      <w:r>
        <w:rPr>
          <w:sz w:val="20"/>
          <w:szCs w:val="20"/>
          <w:color w:val="auto"/>
        </w:rPr>
        <w:tab/>
      </w:r>
      <w:r>
        <w:rPr>
          <w:rFonts w:ascii="Times New Roman" w:cs="Times New Roman" w:eastAsia="Times New Roman" w:hAnsi="Times New Roman"/>
          <w:sz w:val="13"/>
          <w:szCs w:val="13"/>
          <w:color w:val="auto"/>
        </w:rPr>
        <w:t xml:space="preserve">— </w:t>
      </w:r>
      <w:hyperlink r:id="rId397">
        <w:r>
          <w:rPr>
            <w:rFonts w:ascii="Times New Roman" w:cs="Times New Roman" w:eastAsia="Times New Roman" w:hAnsi="Times New Roman"/>
            <w:sz w:val="13"/>
            <w:szCs w:val="13"/>
            <w:u w:val="single" w:color="auto"/>
            <w:color w:val="0000FF"/>
          </w:rPr>
          <w:t>Form of Restricted Stock Unit Award Agreement</w:t>
        </w:r>
      </w:hyperlink>
      <w:r>
        <w:rPr>
          <w:rFonts w:ascii="Times New Roman" w:cs="Times New Roman" w:eastAsia="Times New Roman" w:hAnsi="Times New Roman"/>
          <w:sz w:val="13"/>
          <w:szCs w:val="13"/>
          <w:color w:val="auto"/>
        </w:rPr>
        <w:t xml:space="preserve"> </w:t>
      </w:r>
      <w:hyperlink r:id="rId397">
        <w:r>
          <w:rPr>
            <w:rFonts w:ascii="Times New Roman" w:cs="Times New Roman" w:eastAsia="Times New Roman" w:hAnsi="Times New Roman"/>
            <w:sz w:val="13"/>
            <w:szCs w:val="13"/>
            <w:u w:val="single" w:color="auto"/>
            <w:color w:val="0000FF"/>
          </w:rPr>
          <w:t>for CEO (Service-Based Vesting with</w:t>
        </w:r>
      </w:hyperlink>
      <w:r>
        <w:rPr>
          <w:rFonts w:ascii="Times New Roman" w:cs="Times New Roman" w:eastAsia="Times New Roman" w:hAnsi="Times New Roman"/>
          <w:sz w:val="13"/>
          <w:szCs w:val="13"/>
          <w:u w:val="single" w:color="auto"/>
          <w:color w:val="0000FF"/>
        </w:rPr>
        <w:t xml:space="preserve"> </w:t>
      </w:r>
      <w:hyperlink r:id="rId397">
        <w:r>
          <w:rPr>
            <w:rFonts w:ascii="Times New Roman" w:cs="Times New Roman" w:eastAsia="Times New Roman" w:hAnsi="Times New Roman"/>
            <w:sz w:val="13"/>
            <w:szCs w:val="13"/>
            <w:u w:val="single" w:color="auto"/>
            <w:color w:val="0000FF"/>
          </w:rPr>
          <w:t>Performance Goals) under Exhibit 10(p)(1)</w:t>
        </w:r>
      </w:hyperlink>
    </w:p>
    <w:p>
      <w:pPr>
        <w:spacing w:after="0" w:line="6" w:lineRule="exact"/>
        <w:rPr>
          <w:rFonts w:ascii="Times New Roman" w:cs="Times New Roman" w:eastAsia="Times New Roman" w:hAnsi="Times New Roman"/>
          <w:sz w:val="13"/>
          <w:szCs w:val="13"/>
          <w:color w:val="auto"/>
        </w:rPr>
      </w:pPr>
    </w:p>
    <w:p>
      <w:pPr>
        <w:ind w:left="1300" w:hanging="1225"/>
        <w:spacing w:after="0" w:line="235" w:lineRule="auto"/>
        <w:tabs>
          <w:tab w:leader="none" w:pos="12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*10(p)(11)</w:t>
      </w:r>
      <w:r>
        <w:rPr>
          <w:sz w:val="20"/>
          <w:szCs w:val="20"/>
          <w:color w:val="auto"/>
        </w:rPr>
        <w:tab/>
      </w:r>
      <w:r>
        <w:rPr>
          <w:rFonts w:ascii="Times New Roman" w:cs="Times New Roman" w:eastAsia="Times New Roman" w:hAnsi="Times New Roman"/>
          <w:sz w:val="13"/>
          <w:szCs w:val="13"/>
          <w:color w:val="auto"/>
        </w:rPr>
        <w:t xml:space="preserve">— </w:t>
      </w:r>
      <w:hyperlink r:id="rId398">
        <w:r>
          <w:rPr>
            <w:rFonts w:ascii="Times New Roman" w:cs="Times New Roman" w:eastAsia="Times New Roman" w:hAnsi="Times New Roman"/>
            <w:sz w:val="13"/>
            <w:szCs w:val="13"/>
            <w:u w:val="single" w:color="auto"/>
            <w:color w:val="0000FF"/>
          </w:rPr>
          <w:t>Form of Restricted Stock Unit Award Agreement</w:t>
        </w:r>
      </w:hyperlink>
      <w:r>
        <w:rPr>
          <w:rFonts w:ascii="Times New Roman" w:cs="Times New Roman" w:eastAsia="Times New Roman" w:hAnsi="Times New Roman"/>
          <w:sz w:val="13"/>
          <w:szCs w:val="13"/>
          <w:color w:val="auto"/>
        </w:rPr>
        <w:t xml:space="preserve"> </w:t>
      </w:r>
      <w:hyperlink r:id="rId398">
        <w:r>
          <w:rPr>
            <w:rFonts w:ascii="Times New Roman" w:cs="Times New Roman" w:eastAsia="Times New Roman" w:hAnsi="Times New Roman"/>
            <w:sz w:val="13"/>
            <w:szCs w:val="13"/>
            <w:u w:val="single" w:color="auto"/>
            <w:color w:val="0000FF"/>
          </w:rPr>
          <w:t>(Fully Vested) under Exhibit 10(p)(1)</w:t>
        </w:r>
      </w:hyperlink>
    </w:p>
    <w:p>
      <w:pPr>
        <w:spacing w:after="0" w:line="4" w:lineRule="exact"/>
        <w:rPr>
          <w:sz w:val="20"/>
          <w:szCs w:val="20"/>
          <w:color w:val="auto"/>
        </w:rPr>
      </w:pPr>
    </w:p>
    <w:p>
      <w:pPr>
        <w:ind w:left="1300" w:hanging="1228"/>
        <w:spacing w:after="0" w:line="224" w:lineRule="auto"/>
        <w:tabs>
          <w:tab w:leader="none" w:pos="12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*10(p)(12)</w:t>
      </w:r>
      <w:r>
        <w:rPr>
          <w:sz w:val="20"/>
          <w:szCs w:val="20"/>
          <w:color w:val="auto"/>
        </w:rPr>
        <w:tab/>
      </w:r>
      <w:r>
        <w:rPr>
          <w:rFonts w:ascii="Times New Roman" w:cs="Times New Roman" w:eastAsia="Times New Roman" w:hAnsi="Times New Roman"/>
          <w:sz w:val="13"/>
          <w:szCs w:val="13"/>
          <w:color w:val="auto"/>
        </w:rPr>
        <w:t xml:space="preserve">— </w:t>
      </w:r>
      <w:hyperlink r:id="rId399">
        <w:r>
          <w:rPr>
            <w:rFonts w:ascii="Times New Roman" w:cs="Times New Roman" w:eastAsia="Times New Roman" w:hAnsi="Times New Roman"/>
            <w:sz w:val="13"/>
            <w:szCs w:val="13"/>
            <w:u w:val="single" w:color="auto"/>
            <w:color w:val="0000FF"/>
          </w:rPr>
          <w:t>Form of Restricted Stock Unit Award Agreement</w:t>
        </w:r>
      </w:hyperlink>
      <w:r>
        <w:rPr>
          <w:rFonts w:ascii="Times New Roman" w:cs="Times New Roman" w:eastAsia="Times New Roman" w:hAnsi="Times New Roman"/>
          <w:sz w:val="13"/>
          <w:szCs w:val="13"/>
          <w:color w:val="auto"/>
        </w:rPr>
        <w:t xml:space="preserve"> </w:t>
      </w:r>
      <w:hyperlink r:id="rId399">
        <w:r>
          <w:rPr>
            <w:rFonts w:ascii="Times New Roman" w:cs="Times New Roman" w:eastAsia="Times New Roman" w:hAnsi="Times New Roman"/>
            <w:sz w:val="13"/>
            <w:szCs w:val="13"/>
            <w:u w:val="single" w:color="auto"/>
            <w:color w:val="0000FF"/>
          </w:rPr>
          <w:t>for the Chief Executive Officer under Exhibit</w:t>
        </w:r>
      </w:hyperlink>
      <w:r>
        <w:rPr>
          <w:rFonts w:ascii="Times New Roman" w:cs="Times New Roman" w:eastAsia="Times New Roman" w:hAnsi="Times New Roman"/>
          <w:sz w:val="13"/>
          <w:szCs w:val="13"/>
          <w:u w:val="single" w:color="auto"/>
          <w:color w:val="0000FF"/>
        </w:rPr>
        <w:t xml:space="preserve"> </w:t>
      </w:r>
      <w:hyperlink r:id="rId399">
        <w:r>
          <w:rPr>
            <w:rFonts w:ascii="Times New Roman" w:cs="Times New Roman" w:eastAsia="Times New Roman" w:hAnsi="Times New Roman"/>
            <w:sz w:val="13"/>
            <w:szCs w:val="13"/>
            <w:u w:val="single" w:color="auto"/>
            <w:color w:val="0000FF"/>
          </w:rPr>
          <w:t>10(p)(1)</w:t>
        </w:r>
      </w:hyperlink>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ind w:right="80"/>
        <w:spacing w:after="0" w:line="235" w:lineRule="auto"/>
        <w:rPr>
          <w:sz w:val="20"/>
          <w:szCs w:val="20"/>
          <w:color w:val="auto"/>
        </w:rPr>
      </w:pPr>
      <w:r>
        <w:rPr>
          <w:rFonts w:ascii="Times New Roman" w:cs="Times New Roman" w:eastAsia="Times New Roman" w:hAnsi="Times New Roman"/>
          <w:sz w:val="13"/>
          <w:szCs w:val="13"/>
          <w:color w:val="auto"/>
        </w:rPr>
        <w:t>CenterPoint Energy’s Form 8-K/A dated June 30, 2020</w:t>
      </w:r>
    </w:p>
    <w:p>
      <w:pPr>
        <w:spacing w:after="0" w:line="132" w:lineRule="exact"/>
        <w:rPr>
          <w:rFonts w:ascii="Times New Roman" w:cs="Times New Roman" w:eastAsia="Times New Roman" w:hAnsi="Times New Roman"/>
          <w:sz w:val="13"/>
          <w:szCs w:val="13"/>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2020</w:t>
      </w:r>
    </w:p>
    <w:p>
      <w:pPr>
        <w:spacing w:after="0" w:line="6" w:lineRule="exact"/>
        <w:rPr>
          <w:rFonts w:ascii="Times New Roman" w:cs="Times New Roman" w:eastAsia="Times New Roman" w:hAnsi="Times New Roman"/>
          <w:sz w:val="13"/>
          <w:szCs w:val="13"/>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2020</w:t>
      </w:r>
    </w:p>
    <w:p>
      <w:pPr>
        <w:spacing w:after="0" w:line="6" w:lineRule="exact"/>
        <w:rPr>
          <w:rFonts w:ascii="Times New Roman" w:cs="Times New Roman" w:eastAsia="Times New Roman" w:hAnsi="Times New Roman"/>
          <w:sz w:val="13"/>
          <w:szCs w:val="13"/>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CenterPoint Energy’s Form 8-K/A dated February 19, 2020</w:t>
      </w:r>
    </w:p>
    <w:p>
      <w:pPr>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July 20, 2021</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65"/>
        </w:trPr>
        <w:tc>
          <w:tcPr>
            <w:tcW w:w="78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2"/>
              </w:rPr>
              <w:t>1-31447</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424"/>
        </w:trPr>
        <w:tc>
          <w:tcPr>
            <w:tcW w:w="78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2"/>
              </w:rPr>
              <w:t>1-31447</w:t>
            </w:r>
          </w:p>
        </w:tc>
        <w:tc>
          <w:tcPr>
            <w:tcW w:w="12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10(q)(12)</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424"/>
        </w:trPr>
        <w:tc>
          <w:tcPr>
            <w:tcW w:w="78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2"/>
              </w:rPr>
              <w:t>1-31447</w:t>
            </w:r>
          </w:p>
        </w:tc>
        <w:tc>
          <w:tcPr>
            <w:tcW w:w="12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10(q)(13)</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424"/>
        </w:trPr>
        <w:tc>
          <w:tcPr>
            <w:tcW w:w="78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2"/>
              </w:rPr>
              <w:t>1-31447</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78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2"/>
              </w:rPr>
              <w:t>1-31447</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254" w:lineRule="exact"/>
        <w:rPr>
          <w:rFonts w:ascii="Times New Roman" w:cs="Times New Roman" w:eastAsia="Times New Roman" w:hAnsi="Times New Roman"/>
          <w:sz w:val="13"/>
          <w:szCs w:val="13"/>
          <w:color w:val="auto"/>
        </w:rPr>
      </w:pPr>
    </w:p>
    <w:p>
      <w:pPr>
        <w:sectPr>
          <w:pgSz w:w="11900" w:h="16838" w:orient="portrait"/>
          <w:cols w:equalWidth="0" w:num="3">
            <w:col w:w="4100" w:space="200"/>
            <w:col w:w="1620" w:space="480"/>
            <w:col w:w="4880"/>
          </w:cols>
          <w:pgMar w:left="300" w:top="819" w:right="319" w:bottom="1440" w:gutter="0" w:footer="0" w:header="0"/>
          <w:type w:val="continuous"/>
        </w:sectPr>
      </w:pPr>
    </w:p>
    <w:tbl>
      <w:tblPr>
        <w:tblLayout w:type="fixed"/>
        <w:tblInd w:w="400" w:type="dxa"/>
        <w:tblCellMar>
          <w:top w:w="0" w:type="dxa"/>
          <w:left w:w="0" w:type="dxa"/>
          <w:bottom w:w="0" w:type="dxa"/>
          <w:right w:w="0" w:type="dxa"/>
        </w:tblCellMar>
      </w:tblPr>
      <w:tr>
        <w:trPr>
          <w:trHeight w:val="144"/>
        </w:trPr>
        <w:tc>
          <w:tcPr>
            <w:tcW w:w="7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*10(q)(1)</w:t>
            </w:r>
          </w:p>
        </w:tc>
        <w:tc>
          <w:tcPr>
            <w:tcW w:w="3100" w:type="dxa"/>
            <w:vAlign w:val="bottom"/>
            <w:gridSpan w:val="7"/>
          </w:tcPr>
          <w:p>
            <w:pPr>
              <w:ind w:left="200"/>
              <w:spacing w:after="0" w:line="144"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0">
              <w:r>
                <w:rPr>
                  <w:rFonts w:ascii="Times New Roman" w:cs="Times New Roman" w:eastAsia="Times New Roman" w:hAnsi="Times New Roman"/>
                  <w:sz w:val="13"/>
                  <w:szCs w:val="13"/>
                  <w:color w:val="0000FF"/>
                </w:rPr>
                <w:t>CenterPoint Energy, Inc. Change in Control Plan,</w:t>
              </w:r>
            </w:hyperlink>
          </w:p>
        </w:tc>
        <w:tc>
          <w:tcPr>
            <w:tcW w:w="17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5"/>
              </w:rPr>
              <w:t>CenterPoint Energy’s Form 8-K</w:t>
            </w:r>
          </w:p>
        </w:tc>
      </w:tr>
      <w:tr>
        <w:trPr>
          <w:trHeight w:val="107"/>
        </w:trPr>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400">
              <w:r>
                <w:rPr>
                  <w:rFonts w:ascii="Times New Roman" w:cs="Times New Roman" w:eastAsia="Times New Roman" w:hAnsi="Times New Roman"/>
                  <w:sz w:val="12"/>
                  <w:szCs w:val="12"/>
                  <w:color w:val="0000FF"/>
                </w:rPr>
                <w:t>as amended and restated effective May 1, 2017</w:t>
              </w:r>
            </w:hyperlink>
          </w:p>
        </w:tc>
        <w:tc>
          <w:tcPr>
            <w:tcW w:w="12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dated April 27, 2017</w:t>
            </w:r>
          </w:p>
        </w:tc>
      </w:tr>
      <w:tr>
        <w:trPr>
          <w:trHeight w:val="150"/>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*10(q)(2)</w:t>
            </w:r>
          </w:p>
        </w:tc>
        <w:tc>
          <w:tcPr>
            <w:tcW w:w="3100" w:type="dxa"/>
            <w:vAlign w:val="bottom"/>
            <w:gridSpan w:val="7"/>
          </w:tcPr>
          <w:p>
            <w:pPr>
              <w:ind w:left="2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1">
              <w:r>
                <w:rPr>
                  <w:rFonts w:ascii="Times New Roman" w:cs="Times New Roman" w:eastAsia="Times New Roman" w:hAnsi="Times New Roman"/>
                  <w:sz w:val="13"/>
                  <w:szCs w:val="13"/>
                  <w:color w:val="0000FF"/>
                </w:rPr>
                <w:t>First Amendment to Exhibit 10(q)(1)</w:t>
              </w:r>
            </w:hyperlink>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CenterPoint Energy’s Form 10-</w:t>
            </w:r>
          </w:p>
        </w:tc>
      </w:tr>
      <w:tr>
        <w:trPr>
          <w:trHeight w:val="97"/>
        </w:trPr>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color w:val="auto"/>
              </w:rPr>
              <w:t>K for the year ended December</w:t>
            </w:r>
          </w:p>
        </w:tc>
      </w:tr>
      <w:tr>
        <w:trPr>
          <w:trHeight w:val="165"/>
        </w:trPr>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31, 2020</w:t>
            </w:r>
          </w:p>
        </w:tc>
      </w:tr>
      <w:tr>
        <w:trPr>
          <w:trHeight w:val="142"/>
        </w:trPr>
        <w:tc>
          <w:tcPr>
            <w:tcW w:w="7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*10(q)(3)</w:t>
            </w:r>
          </w:p>
        </w:tc>
        <w:tc>
          <w:tcPr>
            <w:tcW w:w="3100" w:type="dxa"/>
            <w:vAlign w:val="bottom"/>
            <w:gridSpan w:val="7"/>
          </w:tcPr>
          <w:p>
            <w:pPr>
              <w:ind w:left="20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2">
              <w:r>
                <w:rPr>
                  <w:rFonts w:ascii="Times New Roman" w:cs="Times New Roman" w:eastAsia="Times New Roman" w:hAnsi="Times New Roman"/>
                  <w:sz w:val="13"/>
                  <w:szCs w:val="13"/>
                  <w:color w:val="0000FF"/>
                </w:rPr>
                <w:t>Second Amendment to Exhibit 10(q)(1)</w:t>
              </w:r>
            </w:hyperlink>
          </w:p>
        </w:tc>
        <w:tc>
          <w:tcPr>
            <w:tcW w:w="17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auto"/>
                <w:w w:val="97"/>
              </w:rPr>
              <w:t>CenterPoint Energy’s Form 10-</w:t>
            </w:r>
          </w:p>
        </w:tc>
      </w:tr>
      <w:tr>
        <w:trPr>
          <w:trHeight w:val="97"/>
        </w:trPr>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color w:val="auto"/>
              </w:rPr>
              <w:t>K for the year ended December</w:t>
            </w:r>
          </w:p>
        </w:tc>
      </w:tr>
      <w:tr>
        <w:trPr>
          <w:trHeight w:val="165"/>
        </w:trPr>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31, 2021</w:t>
            </w:r>
          </w:p>
        </w:tc>
      </w:tr>
      <w:tr>
        <w:trPr>
          <w:trHeight w:val="142"/>
        </w:trPr>
        <w:tc>
          <w:tcPr>
            <w:tcW w:w="7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*10(q)(4)</w:t>
            </w:r>
          </w:p>
        </w:tc>
        <w:tc>
          <w:tcPr>
            <w:tcW w:w="3100" w:type="dxa"/>
            <w:vAlign w:val="bottom"/>
            <w:gridSpan w:val="7"/>
          </w:tcPr>
          <w:p>
            <w:pPr>
              <w:ind w:left="20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3">
              <w:r>
                <w:rPr>
                  <w:rFonts w:ascii="Times New Roman" w:cs="Times New Roman" w:eastAsia="Times New Roman" w:hAnsi="Times New Roman"/>
                  <w:sz w:val="13"/>
                  <w:szCs w:val="13"/>
                  <w:color w:val="0000FF"/>
                </w:rPr>
                <w:t>Third Amendment to Exhibit 10(q)(1)</w:t>
              </w:r>
            </w:hyperlink>
          </w:p>
        </w:tc>
        <w:tc>
          <w:tcPr>
            <w:tcW w:w="17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auto"/>
                <w:w w:val="97"/>
              </w:rPr>
              <w:t>CenterPoint Energy’s Form 10-</w:t>
            </w:r>
          </w:p>
        </w:tc>
      </w:tr>
      <w:tr>
        <w:trPr>
          <w:trHeight w:val="97"/>
        </w:trPr>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color w:val="auto"/>
              </w:rPr>
              <w:t>Q for the quarter ended March</w:t>
            </w:r>
          </w:p>
        </w:tc>
      </w:tr>
      <w:tr>
        <w:trPr>
          <w:trHeight w:val="165"/>
        </w:trPr>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31, 2024</w:t>
            </w:r>
          </w:p>
        </w:tc>
      </w:tr>
    </w:tbl>
    <w:p>
      <w:pPr>
        <w:spacing w:after="0" w:line="200" w:lineRule="exact"/>
        <w:rPr>
          <w:sz w:val="20"/>
          <w:szCs w:val="20"/>
          <w:color w:val="auto"/>
        </w:rPr>
      </w:pPr>
    </w:p>
    <w:p>
      <w:pPr>
        <w:spacing w:after="0" w:line="2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4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0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1-31447</w:t>
            </w:r>
          </w:p>
        </w:tc>
        <w:tc>
          <w:tcPr>
            <w:tcW w:w="12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10.1</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0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1-31447</w:t>
            </w: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8"/>
              </w:rPr>
              <w:t>10(t)(2)</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424"/>
        </w:trPr>
        <w:tc>
          <w:tcPr>
            <w:tcW w:w="80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1-31447</w:t>
            </w:r>
          </w:p>
        </w:tc>
        <w:tc>
          <w:tcPr>
            <w:tcW w:w="12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10(q)(3)</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424"/>
        </w:trPr>
        <w:tc>
          <w:tcPr>
            <w:tcW w:w="80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1-31447</w:t>
            </w:r>
          </w:p>
        </w:tc>
        <w:tc>
          <w:tcPr>
            <w:tcW w:w="12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10.1</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bl>
    <w:p>
      <w:pPr>
        <w:sectPr>
          <w:pgSz w:w="11900" w:h="16838" w:orient="portrait"/>
          <w:cols w:equalWidth="0" w:num="2">
            <w:col w:w="5920" w:space="480"/>
            <w:col w:w="4880"/>
          </w:cols>
          <w:pgMar w:left="300" w:top="819" w:right="319" w:bottom="1440" w:gutter="0" w:footer="0" w:header="0"/>
          <w:type w:val="continuous"/>
        </w:sectPr>
      </w:pPr>
    </w:p>
    <w:bookmarkStart w:id="213" w:name="page214"/>
    <w:bookmarkEnd w:id="213"/>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40" w:type="dxa"/>
            <w:vAlign w:val="bottom"/>
            <w:gridSpan w:val="23"/>
            <w:vMerge w:val="restart"/>
          </w:tcPr>
          <w:p>
            <w:pPr>
              <w:jc w:val="right"/>
              <w:ind w:right="10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8"/>
              </w:rPr>
              <w:t>*10(r)</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80" w:type="dxa"/>
            <w:vAlign w:val="bottom"/>
            <w:gridSpan w:val="26"/>
          </w:tcPr>
          <w:p>
            <w:pPr>
              <w:spacing w:after="0" w:line="138" w:lineRule="exact"/>
              <w:rPr>
                <w:rFonts w:ascii="Times New Roman" w:cs="Times New Roman" w:eastAsia="Times New Roman" w:hAnsi="Times New Roman"/>
                <w:sz w:val="13"/>
                <w:szCs w:val="13"/>
                <w:color w:val="0000FF"/>
                <w:w w:val="98"/>
              </w:rPr>
            </w:pPr>
            <w:hyperlink r:id="rId405">
              <w:r>
                <w:rPr>
                  <w:rFonts w:ascii="Times New Roman" w:cs="Times New Roman" w:eastAsia="Times New Roman" w:hAnsi="Times New Roman"/>
                  <w:sz w:val="13"/>
                  <w:szCs w:val="13"/>
                  <w:color w:val="0000FF"/>
                  <w:w w:val="98"/>
                </w:rPr>
                <w:t>Omnibus Amendment to CenterPoint Energy, Inc.</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405">
              <w:r>
                <w:rPr>
                  <w:rFonts w:ascii="Times New Roman" w:cs="Times New Roman" w:eastAsia="Times New Roman" w:hAnsi="Times New Roman"/>
                  <w:sz w:val="12"/>
                  <w:szCs w:val="12"/>
                  <w:color w:val="0000FF"/>
                </w:rPr>
                <w:t>Benefit Plans, dated May 23, 2013</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*10(s)(1)</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6">
              <w:r>
                <w:rPr>
                  <w:rFonts w:ascii="Times New Roman" w:cs="Times New Roman" w:eastAsia="Times New Roman" w:hAnsi="Times New Roman"/>
                  <w:sz w:val="13"/>
                  <w:szCs w:val="13"/>
                  <w:color w:val="0000FF"/>
                </w:rPr>
                <w:t>Vectren Non-Qualified Deferred Compensation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bottom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406">
              <w:r>
                <w:rPr>
                  <w:rFonts w:ascii="Times New Roman" w:cs="Times New Roman" w:eastAsia="Times New Roman" w:hAnsi="Times New Roman"/>
                  <w:sz w:val="12"/>
                  <w:szCs w:val="12"/>
                  <w:color w:val="0000FF"/>
                </w:rPr>
                <w:t>Plan, as amended and restated effective January</w:t>
              </w:r>
            </w:hyperlink>
          </w:p>
        </w:tc>
        <w:tc>
          <w:tcPr>
            <w:tcW w:w="160" w:type="dxa"/>
            <w:vAlign w:val="bottom"/>
            <w:tcBorders>
              <w:bottom w:val="single" w:sz="8" w:color="0000FF"/>
            </w:tcBorders>
            <w:gridSpan w:val="8"/>
          </w:tcPr>
          <w:p>
            <w:pPr>
              <w:jc w:val="right"/>
              <w:ind w:right="20"/>
              <w:spacing w:after="0" w:line="107" w:lineRule="exact"/>
              <w:rPr>
                <w:rFonts w:ascii="Times New Roman" w:cs="Times New Roman" w:eastAsia="Times New Roman" w:hAnsi="Times New Roman"/>
                <w:sz w:val="12"/>
                <w:szCs w:val="12"/>
                <w:color w:val="0000FF"/>
              </w:rPr>
            </w:pPr>
            <w:hyperlink r:id="rId406">
              <w:r>
                <w:rPr>
                  <w:rFonts w:ascii="Times New Roman" w:cs="Times New Roman" w:eastAsia="Times New Roman" w:hAnsi="Times New Roman"/>
                  <w:sz w:val="12"/>
                  <w:szCs w:val="12"/>
                  <w:color w:val="0000FF"/>
                </w:rPr>
                <w:t>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406">
              <w:r>
                <w:rPr>
                  <w:rFonts w:ascii="Times New Roman" w:cs="Times New Roman" w:eastAsia="Times New Roman" w:hAnsi="Times New Roman"/>
                  <w:sz w:val="12"/>
                  <w:szCs w:val="12"/>
                  <w:color w:val="0000FF"/>
                  <w:w w:val="99"/>
                </w:rPr>
                <w:t>2001</w:t>
              </w:r>
            </w:hyperlink>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*10(s)(2)</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7">
              <w:r>
                <w:rPr>
                  <w:rFonts w:ascii="Times New Roman" w:cs="Times New Roman" w:eastAsia="Times New Roman" w:hAnsi="Times New Roman"/>
                  <w:sz w:val="13"/>
                  <w:szCs w:val="13"/>
                  <w:color w:val="0000FF"/>
                </w:rPr>
                <w:t>July 1, 2002 Amendment to Exhibit 10(s)(1)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*10(t)(1)</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8">
              <w:r>
                <w:rPr>
                  <w:rFonts w:ascii="Times New Roman" w:cs="Times New Roman" w:eastAsia="Times New Roman" w:hAnsi="Times New Roman"/>
                  <w:sz w:val="13"/>
                  <w:szCs w:val="13"/>
                  <w:color w:val="0000FF"/>
                </w:rPr>
                <w:t>Vectren Corporation Non-Qualified Deferred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408">
              <w:r>
                <w:rPr>
                  <w:rFonts w:ascii="Times New Roman" w:cs="Times New Roman" w:eastAsia="Times New Roman" w:hAnsi="Times New Roman"/>
                  <w:sz w:val="12"/>
                  <w:szCs w:val="12"/>
                  <w:color w:val="0000FF"/>
                </w:rPr>
                <w:t>Compensation Plan, effective January 1, 2005</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*10(t)(2)</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9">
              <w:r>
                <w:rPr>
                  <w:rFonts w:ascii="Times New Roman" w:cs="Times New Roman" w:eastAsia="Times New Roman" w:hAnsi="Times New Roman"/>
                  <w:sz w:val="13"/>
                  <w:szCs w:val="13"/>
                  <w:color w:val="0000FF"/>
                </w:rPr>
                <w:t>Partial Termination Amendment to Exhibit 10(t)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409">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effective as of January 1, 2005</w:t>
              </w:r>
            </w:hyperlink>
          </w:p>
        </w:tc>
        <w:tc>
          <w:tcPr>
            <w:tcW w:w="68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*10(u)(1)</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0">
              <w:r>
                <w:rPr>
                  <w:rFonts w:ascii="Times New Roman" w:cs="Times New Roman" w:eastAsia="Times New Roman" w:hAnsi="Times New Roman"/>
                  <w:sz w:val="13"/>
                  <w:szCs w:val="13"/>
                  <w:color w:val="0000FF"/>
                </w:rPr>
                <w:t>Vectren Nonqualified Defined Benefit Restoration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bottom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410">
              <w:r>
                <w:rPr>
                  <w:rFonts w:ascii="Times New Roman" w:cs="Times New Roman" w:eastAsia="Times New Roman" w:hAnsi="Times New Roman"/>
                  <w:sz w:val="12"/>
                  <w:szCs w:val="12"/>
                  <w:color w:val="0000FF"/>
                </w:rPr>
                <w:t>Plan, as amended and restated effective January 1,</w:t>
              </w:r>
            </w:hyperlink>
          </w:p>
        </w:tc>
        <w:tc>
          <w:tcPr>
            <w:tcW w:w="20" w:type="dxa"/>
            <w:vAlign w:val="bottom"/>
            <w:tcBorders>
              <w:bottom w:val="single" w:sz="8" w:color="0000FF"/>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410">
              <w:r>
                <w:rPr>
                  <w:rFonts w:ascii="Times New Roman" w:cs="Times New Roman" w:eastAsia="Times New Roman" w:hAnsi="Times New Roman"/>
                  <w:sz w:val="12"/>
                  <w:szCs w:val="12"/>
                  <w:color w:val="0000FF"/>
                  <w:w w:val="99"/>
                </w:rPr>
                <w:t>2005</w:t>
              </w:r>
            </w:hyperlink>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*10(u)(2)</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1">
              <w:r>
                <w:rPr>
                  <w:rFonts w:ascii="Times New Roman" w:cs="Times New Roman" w:eastAsia="Times New Roman" w:hAnsi="Times New Roman"/>
                  <w:sz w:val="13"/>
                  <w:szCs w:val="13"/>
                  <w:color w:val="0000FF"/>
                </w:rPr>
                <w:t>First Amendment to Exhibit 10(u)(1)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*10(v)</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2">
              <w:r>
                <w:rPr>
                  <w:rFonts w:ascii="Times New Roman" w:cs="Times New Roman" w:eastAsia="Times New Roman" w:hAnsi="Times New Roman"/>
                  <w:sz w:val="13"/>
                  <w:szCs w:val="13"/>
                  <w:color w:val="0000FF"/>
                </w:rPr>
                <w:t>Vectren Unfunded Supplemental Retirement Plan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412">
              <w:r>
                <w:rPr>
                  <w:rFonts w:ascii="Times New Roman" w:cs="Times New Roman" w:eastAsia="Times New Roman" w:hAnsi="Times New Roman"/>
                  <w:sz w:val="12"/>
                  <w:szCs w:val="12"/>
                  <w:color w:val="0000FF"/>
                </w:rPr>
                <w:t>for a Select Group of Management Employees</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412">
              <w:r>
                <w:rPr>
                  <w:rFonts w:ascii="Times New Roman" w:cs="Times New Roman" w:eastAsia="Times New Roman" w:hAnsi="Times New Roman"/>
                  <w:sz w:val="12"/>
                  <w:szCs w:val="12"/>
                  <w:color w:val="0000FF"/>
                </w:rPr>
                <w:t>(As Amended and Restated Effective January</w:t>
              </w:r>
            </w:hyperlink>
          </w:p>
        </w:tc>
        <w:tc>
          <w:tcPr>
            <w:tcW w:w="120" w:type="dxa"/>
            <w:vAlign w:val="bottom"/>
            <w:gridSpan w:val="5"/>
          </w:tcPr>
          <w:p>
            <w:pPr>
              <w:jc w:val="center"/>
              <w:ind w:right="20"/>
              <w:spacing w:after="0" w:line="107" w:lineRule="exact"/>
              <w:rPr>
                <w:rFonts w:ascii="Times New Roman" w:cs="Times New Roman" w:eastAsia="Times New Roman" w:hAnsi="Times New Roman"/>
                <w:sz w:val="11"/>
                <w:szCs w:val="11"/>
                <w:color w:val="0000FF"/>
                <w:w w:val="72"/>
              </w:rPr>
            </w:pPr>
            <w:hyperlink r:id="rId412">
              <w:r>
                <w:rPr>
                  <w:rFonts w:ascii="Times New Roman" w:cs="Times New Roman" w:eastAsia="Times New Roman" w:hAnsi="Times New Roman"/>
                  <w:sz w:val="11"/>
                  <w:szCs w:val="11"/>
                  <w:color w:val="0000FF"/>
                  <w:w w:val="72"/>
                </w:rPr>
                <w:t>1,</w:t>
              </w:r>
            </w:hyperlink>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3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w w:val="99"/>
              </w:rPr>
            </w:pPr>
            <w:hyperlink r:id="rId412">
              <w:r>
                <w:rPr>
                  <w:rFonts w:ascii="Times New Roman" w:cs="Times New Roman" w:eastAsia="Times New Roman" w:hAnsi="Times New Roman"/>
                  <w:sz w:val="12"/>
                  <w:szCs w:val="12"/>
                  <w:color w:val="0000FF"/>
                  <w:w w:val="99"/>
                </w:rPr>
                <w:t>2005)</w:t>
              </w:r>
            </w:hyperlink>
          </w:p>
        </w:tc>
        <w:tc>
          <w:tcPr>
            <w:tcW w:w="44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3">
              <w:r>
                <w:rPr>
                  <w:rFonts w:ascii="Times New Roman" w:cs="Times New Roman" w:eastAsia="Times New Roman" w:hAnsi="Times New Roman"/>
                  <w:sz w:val="13"/>
                  <w:szCs w:val="13"/>
                  <w:color w:val="0000FF"/>
                </w:rPr>
                <w:t>Vectren Specimen Waiver, effective October 3,</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413">
              <w:r>
                <w:rPr>
                  <w:rFonts w:ascii="Times New Roman" w:cs="Times New Roman" w:eastAsia="Times New Roman" w:hAnsi="Times New Roman"/>
                  <w:sz w:val="12"/>
                  <w:szCs w:val="12"/>
                  <w:color w:val="0000FF"/>
                </w:rPr>
                <w:t>2013, to the Vectren Unfunded Supplemental</w:t>
              </w:r>
            </w:hyperlink>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13">
              <w:r>
                <w:rPr>
                  <w:rFonts w:ascii="Times New Roman" w:cs="Times New Roman" w:eastAsia="Times New Roman" w:hAnsi="Times New Roman"/>
                  <w:sz w:val="12"/>
                  <w:szCs w:val="12"/>
                  <w:color w:val="0000FF"/>
                </w:rPr>
                <w:t>Retirement Plan for a Select Group of</w:t>
              </w:r>
            </w:hyperlink>
          </w:p>
        </w:tc>
        <w:tc>
          <w:tcPr>
            <w:tcW w:w="20" w:type="dxa"/>
            <w:vAlign w:val="bottom"/>
          </w:tcPr>
          <w:p>
            <w:pPr>
              <w:spacing w:after="0"/>
              <w:rPr>
                <w:sz w:val="9"/>
                <w:szCs w:val="9"/>
                <w:color w:val="auto"/>
              </w:rPr>
            </w:pPr>
          </w:p>
        </w:tc>
        <w:tc>
          <w:tcPr>
            <w:tcW w:w="14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413">
              <w:r>
                <w:rPr>
                  <w:rFonts w:ascii="Times New Roman" w:cs="Times New Roman" w:eastAsia="Times New Roman" w:hAnsi="Times New Roman"/>
                  <w:sz w:val="12"/>
                  <w:szCs w:val="12"/>
                  <w:color w:val="0000FF"/>
                </w:rPr>
                <w:t>Management Employees</w:t>
              </w:r>
            </w:hyperlink>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4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*10(x)(1)</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4">
              <w:r>
                <w:rPr>
                  <w:rFonts w:ascii="Times New Roman" w:cs="Times New Roman" w:eastAsia="Times New Roman" w:hAnsi="Times New Roman"/>
                  <w:sz w:val="13"/>
                  <w:szCs w:val="13"/>
                  <w:color w:val="0000FF"/>
                </w:rPr>
                <w:t>CenterPoint Energy, Inc. 2022 Long Term</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414">
              <w:r>
                <w:rPr>
                  <w:rFonts w:ascii="Times New Roman" w:cs="Times New Roman" w:eastAsia="Times New Roman" w:hAnsi="Times New Roman"/>
                  <w:sz w:val="12"/>
                  <w:szCs w:val="12"/>
                  <w:color w:val="0000FF"/>
                </w:rPr>
                <w:t>Incentive Plan</w:t>
              </w:r>
            </w:hyperlink>
          </w:p>
        </w:tc>
        <w:tc>
          <w:tcPr>
            <w:tcW w:w="140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3"/>
          </w:tcPr>
          <w:p>
            <w:pPr>
              <w:spacing w:after="0"/>
              <w:rPr>
                <w:sz w:val="9"/>
                <w:szCs w:val="9"/>
                <w:color w:val="auto"/>
              </w:rPr>
            </w:pPr>
          </w:p>
        </w:tc>
        <w:tc>
          <w:tcPr>
            <w:tcW w:w="14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*10(x)(2)</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5">
              <w:r>
                <w:rPr>
                  <w:rFonts w:ascii="Times New Roman" w:cs="Times New Roman" w:eastAsia="Times New Roman" w:hAnsi="Times New Roman"/>
                  <w:sz w:val="13"/>
                  <w:szCs w:val="13"/>
                  <w:color w:val="0000FF"/>
                </w:rPr>
                <w:t>Form of Performance Award Agreement for</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26"/>
          </w:tcPr>
          <w:p>
            <w:pPr>
              <w:spacing w:after="0" w:line="107" w:lineRule="exact"/>
              <w:rPr>
                <w:rFonts w:ascii="Times New Roman" w:cs="Times New Roman" w:eastAsia="Times New Roman" w:hAnsi="Times New Roman"/>
                <w:sz w:val="12"/>
                <w:szCs w:val="12"/>
                <w:color w:val="0000FF"/>
              </w:rPr>
            </w:pPr>
            <w:hyperlink r:id="rId415">
              <w:r>
                <w:rPr>
                  <w:rFonts w:ascii="Times New Roman" w:cs="Times New Roman" w:eastAsia="Times New Roman" w:hAnsi="Times New Roman"/>
                  <w:sz w:val="12"/>
                  <w:szCs w:val="12"/>
                  <w:color w:val="0000FF"/>
                </w:rPr>
                <w:t>20XX-20XX Performance Cycle for the CEO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415">
              <w:r>
                <w:rPr>
                  <w:rFonts w:ascii="Times New Roman" w:cs="Times New Roman" w:eastAsia="Times New Roman" w:hAnsi="Times New Roman"/>
                  <w:sz w:val="12"/>
                  <w:szCs w:val="12"/>
                  <w:color w:val="0000FF"/>
                </w:rPr>
                <w:t>under Exhibit 10(x)(1)</w:t>
              </w:r>
            </w:hyperlink>
          </w:p>
        </w:tc>
        <w:tc>
          <w:tcPr>
            <w:tcW w:w="1180" w:type="dxa"/>
            <w:vAlign w:val="bottom"/>
            <w:tcBorders>
              <w:top w:val="single" w:sz="8" w:color="0000FF"/>
            </w:tcBorders>
            <w:gridSpan w:val="11"/>
          </w:tcPr>
          <w:p>
            <w:pPr>
              <w:spacing w:after="0"/>
              <w:rPr>
                <w:sz w:val="9"/>
                <w:szCs w:val="9"/>
                <w:color w:val="auto"/>
              </w:rPr>
            </w:pPr>
          </w:p>
        </w:tc>
        <w:tc>
          <w:tcPr>
            <w:tcW w:w="14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*10(x)(3)</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6">
              <w:r>
                <w:rPr>
                  <w:rFonts w:ascii="Times New Roman" w:cs="Times New Roman" w:eastAsia="Times New Roman" w:hAnsi="Times New Roman"/>
                  <w:sz w:val="13"/>
                  <w:szCs w:val="13"/>
                  <w:color w:val="0000FF"/>
                </w:rPr>
                <w:t>Form of Performance Award Agreement for</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416">
              <w:r>
                <w:rPr>
                  <w:rFonts w:ascii="Times New Roman" w:cs="Times New Roman" w:eastAsia="Times New Roman" w:hAnsi="Times New Roman"/>
                  <w:sz w:val="12"/>
                  <w:szCs w:val="12"/>
                  <w:color w:val="0000FF"/>
                </w:rPr>
                <w:t>20XX-20XX Performance Cycle for officers</w:t>
              </w:r>
            </w:hyperlink>
          </w:p>
        </w:tc>
        <w:tc>
          <w:tcPr>
            <w:tcW w:w="340" w:type="dxa"/>
            <w:vAlign w:val="bottom"/>
            <w:gridSpan w:val="14"/>
          </w:tcPr>
          <w:p>
            <w:pPr>
              <w:jc w:val="center"/>
              <w:ind w:right="20"/>
              <w:spacing w:after="0" w:line="107" w:lineRule="exact"/>
              <w:rPr>
                <w:rFonts w:ascii="Times New Roman" w:cs="Times New Roman" w:eastAsia="Times New Roman" w:hAnsi="Times New Roman"/>
                <w:sz w:val="12"/>
                <w:szCs w:val="12"/>
                <w:color w:val="0000FF"/>
              </w:rPr>
            </w:pPr>
            <w:hyperlink r:id="rId416">
              <w:r>
                <w:rPr>
                  <w:rFonts w:ascii="Times New Roman" w:cs="Times New Roman" w:eastAsia="Times New Roman" w:hAnsi="Times New Roman"/>
                  <w:sz w:val="12"/>
                  <w:szCs w:val="12"/>
                  <w:color w:val="0000FF"/>
                </w:rPr>
                <w:t>and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416">
              <w:r>
                <w:rPr>
                  <w:rFonts w:ascii="Times New Roman" w:cs="Times New Roman" w:eastAsia="Times New Roman" w:hAnsi="Times New Roman"/>
                  <w:sz w:val="12"/>
                  <w:szCs w:val="12"/>
                  <w:color w:val="0000FF"/>
                </w:rPr>
                <w:t>director employees under Exhibit 10(x)(1)</w:t>
              </w:r>
            </w:hyperlink>
          </w:p>
        </w:tc>
        <w:tc>
          <w:tcPr>
            <w:tcW w:w="32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*10(x)(4)</w:t>
            </w:r>
          </w:p>
        </w:tc>
        <w:tc>
          <w:tcPr>
            <w:tcW w:w="2900" w:type="dxa"/>
            <w:vAlign w:val="bottom"/>
            <w:gridSpan w:val="2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7">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417">
              <w:r>
                <w:rPr>
                  <w:rFonts w:ascii="Times New Roman" w:cs="Times New Roman" w:eastAsia="Times New Roman" w:hAnsi="Times New Roman"/>
                  <w:sz w:val="12"/>
                  <w:szCs w:val="12"/>
                  <w:color w:val="0000FF"/>
                </w:rPr>
                <w:t>under Exhibit 10(x)(1)</w:t>
              </w:r>
            </w:hyperlink>
          </w:p>
        </w:tc>
        <w:tc>
          <w:tcPr>
            <w:tcW w:w="1340" w:type="dxa"/>
            <w:vAlign w:val="bottom"/>
            <w:tcBorders>
              <w:top w:val="single" w:sz="8" w:color="0000FF"/>
            </w:tcBorders>
            <w:gridSpan w:val="18"/>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07124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418">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2013</w:t>
      </w:r>
    </w:p>
    <w:p>
      <w:pPr>
        <w:spacing w:after="0" w:line="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2"/>
          <w:szCs w:val="12"/>
          <w:color w:val="auto"/>
        </w:rPr>
        <w:t>Vectren’s Form 10-K for the year end December 31, 2001</w:t>
      </w:r>
    </w:p>
    <w:p>
      <w:pPr>
        <w:spacing w:after="0" w:line="115"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2023</w:t>
      </w:r>
    </w:p>
    <w:p>
      <w:pPr>
        <w:spacing w:after="0" w:line="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2"/>
          <w:szCs w:val="12"/>
          <w:color w:val="auto"/>
        </w:rPr>
        <w:t>Vectren’s Form 8-K dated September 29, 2008</w:t>
      </w: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2024</w:t>
      </w:r>
    </w:p>
    <w:p>
      <w:pPr>
        <w:spacing w:after="0" w:line="6"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2"/>
          <w:szCs w:val="12"/>
          <w:color w:val="auto"/>
        </w:rPr>
        <w:t>Vectren’s Form 8-K dated December 17, 2008</w:t>
      </w:r>
    </w:p>
    <w:p>
      <w:pPr>
        <w:spacing w:after="0" w:line="115"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2023</w:t>
      </w:r>
    </w:p>
    <w:p>
      <w:pPr>
        <w:spacing w:after="0" w:line="6"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2"/>
          <w:szCs w:val="12"/>
          <w:color w:val="auto"/>
        </w:rPr>
        <w:t>Vectren’s Form 8-K dated December 17, 2008</w:t>
      </w:r>
    </w:p>
    <w:p>
      <w:pPr>
        <w:spacing w:after="0" w:line="242" w:lineRule="exact"/>
        <w:rPr>
          <w:sz w:val="20"/>
          <w:szCs w:val="20"/>
          <w:color w:val="auto"/>
        </w:rPr>
      </w:pPr>
    </w:p>
    <w:p>
      <w:pPr>
        <w:jc w:val="both"/>
        <w:ind w:right="180"/>
        <w:spacing w:after="0" w:line="224" w:lineRule="auto"/>
        <w:rPr>
          <w:sz w:val="20"/>
          <w:szCs w:val="20"/>
          <w:color w:val="auto"/>
        </w:rPr>
      </w:pPr>
      <w:r>
        <w:rPr>
          <w:rFonts w:ascii="Times New Roman" w:cs="Times New Roman" w:eastAsia="Times New Roman" w:hAnsi="Times New Roman"/>
          <w:sz w:val="13"/>
          <w:szCs w:val="13"/>
          <w:color w:val="auto"/>
        </w:rPr>
        <w:t>Vectren’s Form 10-Q for the quarter ended September 30, 2013</w:t>
      </w:r>
    </w:p>
    <w:p>
      <w:pPr>
        <w:spacing w:after="0" w:line="13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Definitive Proxy Statement filed on March 11, 2022</w:t>
      </w:r>
    </w:p>
    <w:p>
      <w:pPr>
        <w:spacing w:after="0" w:line="6"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132"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132"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10(zz)</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1-15467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10.32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10(s)(2)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1-15467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1-15467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10(u)(2)</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1-15467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1-15467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Appendix A</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3">
            <w:col w:w="4180" w:space="120"/>
            <w:col w:w="1640" w:space="120"/>
            <w:col w:w="5220"/>
          </w:cols>
          <w:pgMar w:left="300" w:top="819" w:right="31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4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4" w:name="page215"/>
    <w:bookmarkEnd w:id="214"/>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19"/>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*10(x)(5)</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600" w:type="dxa"/>
            <w:vAlign w:val="bottom"/>
            <w:gridSpan w:val="22"/>
          </w:tcPr>
          <w:p>
            <w:pPr>
              <w:spacing w:after="0" w:line="138" w:lineRule="exact"/>
              <w:rPr>
                <w:rFonts w:ascii="Times New Roman" w:cs="Times New Roman" w:eastAsia="Times New Roman" w:hAnsi="Times New Roman"/>
                <w:sz w:val="13"/>
                <w:szCs w:val="13"/>
                <w:color w:val="0000FF"/>
              </w:rPr>
            </w:pPr>
            <w:hyperlink r:id="rId420">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420">
              <w:r>
                <w:rPr>
                  <w:rFonts w:ascii="Times New Roman" w:cs="Times New Roman" w:eastAsia="Times New Roman" w:hAnsi="Times New Roman"/>
                  <w:sz w:val="12"/>
                  <w:szCs w:val="12"/>
                  <w:color w:val="0000FF"/>
                </w:rPr>
                <w:t>for the CEO (with Performance Goals) under</w:t>
              </w:r>
            </w:hyperlink>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420">
              <w:r>
                <w:rPr>
                  <w:rFonts w:ascii="Times New Roman" w:cs="Times New Roman" w:eastAsia="Times New Roman" w:hAnsi="Times New Roman"/>
                  <w:sz w:val="12"/>
                  <w:szCs w:val="12"/>
                  <w:color w:val="0000FF"/>
                </w:rPr>
                <w:t>Exhibit 10(x)(1)</w:t>
              </w:r>
            </w:hyperlink>
          </w:p>
        </w:tc>
        <w:tc>
          <w:tcPr>
            <w:tcW w:w="1460" w:type="dxa"/>
            <w:vAlign w:val="bottom"/>
            <w:tcBorders>
              <w:top w:val="single" w:sz="8" w:color="0000FF"/>
            </w:tcBorders>
            <w:gridSpan w:val="9"/>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*10(x)(6)</w:t>
            </w:r>
          </w:p>
        </w:tc>
        <w:tc>
          <w:tcPr>
            <w:tcW w:w="2920" w:type="dxa"/>
            <w:vAlign w:val="bottom"/>
            <w:gridSpan w:val="2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1">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421">
              <w:r>
                <w:rPr>
                  <w:rFonts w:ascii="Times New Roman" w:cs="Times New Roman" w:eastAsia="Times New Roman" w:hAnsi="Times New Roman"/>
                  <w:sz w:val="12"/>
                  <w:szCs w:val="12"/>
                  <w:color w:val="0000FF"/>
                </w:rPr>
                <w:t>for Officers and Director Employees (with</w:t>
              </w:r>
            </w:hyperlink>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421">
              <w:r>
                <w:rPr>
                  <w:rFonts w:ascii="Times New Roman" w:cs="Times New Roman" w:eastAsia="Times New Roman" w:hAnsi="Times New Roman"/>
                  <w:sz w:val="12"/>
                  <w:szCs w:val="12"/>
                  <w:color w:val="0000FF"/>
                </w:rPr>
                <w:t>Performance Goals) under Exhibit 10(x)(1)</w:t>
              </w:r>
            </w:hyperlink>
          </w:p>
        </w:tc>
        <w:tc>
          <w:tcPr>
            <w:tcW w:w="40" w:type="dxa"/>
            <w:vAlign w:val="bottom"/>
            <w:tcBorders>
              <w:bottom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*10(x)(7)</w:t>
            </w:r>
          </w:p>
        </w:tc>
        <w:tc>
          <w:tcPr>
            <w:tcW w:w="2920" w:type="dxa"/>
            <w:vAlign w:val="bottom"/>
            <w:gridSpan w:val="2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2">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422">
              <w:r>
                <w:rPr>
                  <w:rFonts w:ascii="Times New Roman" w:cs="Times New Roman" w:eastAsia="Times New Roman" w:hAnsi="Times New Roman"/>
                  <w:sz w:val="12"/>
                  <w:szCs w:val="12"/>
                  <w:color w:val="0000FF"/>
                </w:rPr>
                <w:t>for the CEO under Exhibit 10(x)(1)</w:t>
              </w:r>
            </w:hyperlink>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*10(x)(8)</w:t>
            </w:r>
          </w:p>
        </w:tc>
        <w:tc>
          <w:tcPr>
            <w:tcW w:w="2920" w:type="dxa"/>
            <w:vAlign w:val="bottom"/>
            <w:gridSpan w:val="2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3">
              <w:r>
                <w:rPr>
                  <w:rFonts w:ascii="Times New Roman" w:cs="Times New Roman" w:eastAsia="Times New Roman" w:hAnsi="Times New Roman"/>
                  <w:sz w:val="13"/>
                  <w:szCs w:val="13"/>
                  <w:color w:val="0000FF"/>
                </w:rPr>
                <w:t>Form of Performance Award Agreement for the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423">
              <w:r>
                <w:rPr>
                  <w:rFonts w:ascii="Times New Roman" w:cs="Times New Roman" w:eastAsia="Times New Roman" w:hAnsi="Times New Roman"/>
                  <w:sz w:val="12"/>
                  <w:szCs w:val="12"/>
                  <w:color w:val="0000FF"/>
                </w:rPr>
                <w:t>President and Chief Operating Officer under</w:t>
              </w:r>
            </w:hyperlink>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423">
              <w:r>
                <w:rPr>
                  <w:rFonts w:ascii="Times New Roman" w:cs="Times New Roman" w:eastAsia="Times New Roman" w:hAnsi="Times New Roman"/>
                  <w:sz w:val="12"/>
                  <w:szCs w:val="12"/>
                  <w:color w:val="0000FF"/>
                </w:rPr>
                <w:t>Exhibit 10(x)(1)</w:t>
              </w:r>
            </w:hyperlink>
          </w:p>
        </w:tc>
        <w:tc>
          <w:tcPr>
            <w:tcW w:w="1420" w:type="dxa"/>
            <w:vAlign w:val="bottom"/>
            <w:tcBorders>
              <w:top w:val="single" w:sz="8" w:color="0000FF"/>
            </w:tcBorders>
            <w:gridSpan w:val="8"/>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*10(x)(9)</w:t>
            </w:r>
          </w:p>
        </w:tc>
        <w:tc>
          <w:tcPr>
            <w:tcW w:w="2920" w:type="dxa"/>
            <w:vAlign w:val="bottom"/>
            <w:gridSpan w:val="2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4">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424">
              <w:r>
                <w:rPr>
                  <w:rFonts w:ascii="Times New Roman" w:cs="Times New Roman" w:eastAsia="Times New Roman" w:hAnsi="Times New Roman"/>
                  <w:sz w:val="12"/>
                  <w:szCs w:val="12"/>
                  <w:color w:val="0000FF"/>
                </w:rPr>
                <w:t>for President and Chief Operating Officer (with</w:t>
              </w:r>
            </w:hyperlink>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424">
              <w:r>
                <w:rPr>
                  <w:rFonts w:ascii="Times New Roman" w:cs="Times New Roman" w:eastAsia="Times New Roman" w:hAnsi="Times New Roman"/>
                  <w:sz w:val="12"/>
                  <w:szCs w:val="12"/>
                  <w:color w:val="0000FF"/>
                </w:rPr>
                <w:t>Performance Goals) under Exhibit 10(x)(1)</w:t>
              </w:r>
            </w:hyperlink>
          </w:p>
        </w:tc>
        <w:tc>
          <w:tcPr>
            <w:tcW w:w="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*10(x)(10)</w:t>
            </w:r>
          </w:p>
        </w:tc>
        <w:tc>
          <w:tcPr>
            <w:tcW w:w="2920" w:type="dxa"/>
            <w:vAlign w:val="bottom"/>
            <w:gridSpan w:val="2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5">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25">
              <w:r>
                <w:rPr>
                  <w:rFonts w:ascii="Times New Roman" w:cs="Times New Roman" w:eastAsia="Times New Roman" w:hAnsi="Times New Roman"/>
                  <w:sz w:val="12"/>
                  <w:szCs w:val="12"/>
                  <w:color w:val="0000FF"/>
                </w:rPr>
                <w:t>under Exhibit 10(x)(1)</w:t>
              </w:r>
            </w:hyperlink>
          </w:p>
        </w:tc>
        <w:tc>
          <w:tcPr>
            <w:tcW w:w="1320" w:type="dxa"/>
            <w:vAlign w:val="bottom"/>
            <w:tcBorders>
              <w:top w:val="single" w:sz="8" w:color="0000FF"/>
            </w:tcBorders>
            <w:gridSpan w:val="14"/>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*10(x)(11)</w:t>
            </w:r>
          </w:p>
        </w:tc>
        <w:tc>
          <w:tcPr>
            <w:tcW w:w="2920" w:type="dxa"/>
            <w:vAlign w:val="bottom"/>
            <w:gridSpan w:val="24"/>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6">
              <w:r>
                <w:rPr>
                  <w:rFonts w:ascii="Times New Roman" w:cs="Times New Roman" w:eastAsia="Times New Roman" w:hAnsi="Times New Roman"/>
                  <w:sz w:val="13"/>
                  <w:szCs w:val="13"/>
                  <w:color w:val="0000FF"/>
                </w:rPr>
                <w:t>Form of Award Agreement for Performance Share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Units for Officer and Director Employees under</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Exhibit 10(x)(1)</w:t>
              </w:r>
            </w:hyperlink>
          </w:p>
        </w:tc>
        <w:tc>
          <w:tcPr>
            <w:tcW w:w="1600" w:type="dxa"/>
            <w:vAlign w:val="bottom"/>
            <w:tcBorders>
              <w:top w:val="single" w:sz="8" w:color="0000FF"/>
            </w:tcBorders>
            <w:gridSpan w:val="1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*10(x)(12)</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w w:val="97"/>
              </w:rPr>
            </w:pPr>
            <w:hyperlink r:id="rId427">
              <w:r>
                <w:rPr>
                  <w:rFonts w:ascii="Times New Roman" w:cs="Times New Roman" w:eastAsia="Times New Roman" w:hAnsi="Times New Roman"/>
                  <w:sz w:val="13"/>
                  <w:szCs w:val="13"/>
                  <w:color w:val="0000FF"/>
                  <w:w w:val="97"/>
                </w:rPr>
                <w:t>Form of Award Agreement for Restricted Stock</w:t>
              </w:r>
            </w:hyperlink>
          </w:p>
        </w:tc>
        <w:tc>
          <w:tcPr>
            <w:tcW w:w="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2"/>
          </w:tcPr>
          <w:p>
            <w:pPr>
              <w:spacing w:after="0" w:line="107" w:lineRule="exact"/>
              <w:rPr>
                <w:rFonts w:ascii="Times New Roman" w:cs="Times New Roman" w:eastAsia="Times New Roman" w:hAnsi="Times New Roman"/>
                <w:sz w:val="12"/>
                <w:szCs w:val="12"/>
                <w:color w:val="0000FF"/>
              </w:rPr>
            </w:pPr>
            <w:hyperlink r:id="rId427">
              <w:r>
                <w:rPr>
                  <w:rFonts w:ascii="Times New Roman" w:cs="Times New Roman" w:eastAsia="Times New Roman" w:hAnsi="Times New Roman"/>
                  <w:sz w:val="12"/>
                  <w:szCs w:val="12"/>
                  <w:color w:val="0000FF"/>
                </w:rPr>
                <w:t>Units for Officer and Director under Exhibit 10(x)</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14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85"/>
              </w:rPr>
            </w:pPr>
            <w:hyperlink r:id="rId427">
              <w:r>
                <w:rPr>
                  <w:rFonts w:ascii="Times New Roman" w:cs="Times New Roman" w:eastAsia="Times New Roman" w:hAnsi="Times New Roman"/>
                  <w:sz w:val="12"/>
                  <w:szCs w:val="12"/>
                  <w:color w:val="0000FF"/>
                  <w:w w:val="85"/>
                </w:rPr>
                <w:t>(1)</w:t>
              </w:r>
            </w:hyperlink>
          </w:p>
        </w:tc>
        <w:tc>
          <w:tcPr>
            <w:tcW w:w="28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294967277"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*10(x)(13)</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gridSpan w:val="22"/>
          </w:tcPr>
          <w:p>
            <w:pPr>
              <w:spacing w:after="0"/>
              <w:rPr>
                <w:rFonts w:ascii="Times New Roman" w:cs="Times New Roman" w:eastAsia="Times New Roman" w:hAnsi="Times New Roman"/>
                <w:sz w:val="13"/>
                <w:szCs w:val="13"/>
                <w:color w:val="0000FF"/>
              </w:rPr>
            </w:pPr>
            <w:hyperlink r:id="rId428">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428">
              <w:r>
                <w:rPr>
                  <w:rFonts w:ascii="Times New Roman" w:cs="Times New Roman" w:eastAsia="Times New Roman" w:hAnsi="Times New Roman"/>
                  <w:sz w:val="12"/>
                  <w:szCs w:val="12"/>
                  <w:color w:val="0000FF"/>
                </w:rPr>
                <w:t>for Officers and Director Employees (with</w:t>
              </w:r>
            </w:hyperlink>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428">
              <w:r>
                <w:rPr>
                  <w:rFonts w:ascii="Times New Roman" w:cs="Times New Roman" w:eastAsia="Times New Roman" w:hAnsi="Times New Roman"/>
                  <w:sz w:val="12"/>
                  <w:szCs w:val="12"/>
                  <w:color w:val="0000FF"/>
                </w:rPr>
                <w:t>Performance Goals) under Exhibit 10(x)(1)</w:t>
              </w:r>
            </w:hyperlink>
          </w:p>
        </w:tc>
        <w:tc>
          <w:tcPr>
            <w:tcW w:w="40" w:type="dxa"/>
            <w:vAlign w:val="bottom"/>
            <w:tcBorders>
              <w:bottom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*10(x)(14)</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gridSpan w:val="22"/>
          </w:tcPr>
          <w:p>
            <w:pPr>
              <w:spacing w:after="0"/>
              <w:rPr>
                <w:rFonts w:ascii="Times New Roman" w:cs="Times New Roman" w:eastAsia="Times New Roman" w:hAnsi="Times New Roman"/>
                <w:sz w:val="13"/>
                <w:szCs w:val="13"/>
                <w:color w:val="0000FF"/>
              </w:rPr>
            </w:pPr>
            <w:hyperlink r:id="rId429">
              <w:r>
                <w:rPr>
                  <w:rFonts w:ascii="Times New Roman" w:cs="Times New Roman" w:eastAsia="Times New Roman" w:hAnsi="Times New Roman"/>
                  <w:sz w:val="13"/>
                  <w:szCs w:val="13"/>
                  <w:color w:val="0000FF"/>
                </w:rPr>
                <w:t>Form of Performance Award Agreement for</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gridSpan w:val="22"/>
          </w:tcPr>
          <w:p>
            <w:pPr>
              <w:spacing w:after="0" w:line="107" w:lineRule="exact"/>
              <w:rPr>
                <w:rFonts w:ascii="Times New Roman" w:cs="Times New Roman" w:eastAsia="Times New Roman" w:hAnsi="Times New Roman"/>
                <w:sz w:val="12"/>
                <w:szCs w:val="12"/>
                <w:color w:val="0000FF"/>
              </w:rPr>
            </w:pPr>
            <w:hyperlink r:id="rId429">
              <w:r>
                <w:rPr>
                  <w:rFonts w:ascii="Times New Roman" w:cs="Times New Roman" w:eastAsia="Times New Roman" w:hAnsi="Times New Roman"/>
                  <w:sz w:val="12"/>
                  <w:szCs w:val="12"/>
                  <w:color w:val="0000FF"/>
                </w:rPr>
                <w:t>Officers and Director Employees under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29">
              <w:r>
                <w:rPr>
                  <w:rFonts w:ascii="Times New Roman" w:cs="Times New Roman" w:eastAsia="Times New Roman" w:hAnsi="Times New Roman"/>
                  <w:sz w:val="12"/>
                  <w:szCs w:val="12"/>
                  <w:color w:val="0000FF"/>
                </w:rPr>
                <w:t>10(x)(1)</w:t>
              </w:r>
            </w:hyperlink>
          </w:p>
        </w:tc>
        <w:tc>
          <w:tcPr>
            <w:tcW w:w="4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*10(x)(15)</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gridSpan w:val="22"/>
          </w:tcPr>
          <w:p>
            <w:pPr>
              <w:spacing w:after="0"/>
              <w:rPr>
                <w:rFonts w:ascii="Times New Roman" w:cs="Times New Roman" w:eastAsia="Times New Roman" w:hAnsi="Times New Roman"/>
                <w:sz w:val="13"/>
                <w:szCs w:val="13"/>
                <w:color w:val="0000FF"/>
              </w:rPr>
            </w:pPr>
            <w:hyperlink r:id="rId430">
              <w:r>
                <w:rPr>
                  <w:rFonts w:ascii="Times New Roman" w:cs="Times New Roman" w:eastAsia="Times New Roman" w:hAnsi="Times New Roman"/>
                  <w:sz w:val="13"/>
                  <w:szCs w:val="13"/>
                  <w:color w:val="0000FF"/>
                </w:rPr>
                <w:t>Form of Restricted Stock Unit Award Agreement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30">
              <w:r>
                <w:rPr>
                  <w:rFonts w:ascii="Times New Roman" w:cs="Times New Roman" w:eastAsia="Times New Roman" w:hAnsi="Times New Roman"/>
                  <w:sz w:val="12"/>
                  <w:szCs w:val="12"/>
                  <w:color w:val="0000FF"/>
                </w:rPr>
                <w:t>under Exhibit 10(x)(1)</w:t>
              </w:r>
            </w:hyperlink>
          </w:p>
        </w:tc>
        <w:tc>
          <w:tcPr>
            <w:tcW w:w="1320" w:type="dxa"/>
            <w:vAlign w:val="bottom"/>
            <w:tcBorders>
              <w:top w:val="single" w:sz="8" w:color="0000FF"/>
            </w:tcBorders>
            <w:gridSpan w:val="14"/>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†*10(x)(16)</w:t>
            </w:r>
          </w:p>
        </w:tc>
        <w:tc>
          <w:tcPr>
            <w:tcW w:w="2920" w:type="dxa"/>
            <w:vAlign w:val="bottom"/>
            <w:gridSpan w:val="24"/>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Form of Performance Award Agreement for Chair</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20"/>
          </w:tcPr>
          <w:p>
            <w:pPr>
              <w:spacing w:after="0" w:line="107" w:lineRule="exact"/>
              <w:rPr>
                <w:sz w:val="20"/>
                <w:szCs w:val="20"/>
                <w:color w:val="auto"/>
              </w:rPr>
            </w:pPr>
            <w:r>
              <w:rPr>
                <w:rFonts w:ascii="Times New Roman" w:cs="Times New Roman" w:eastAsia="Times New Roman" w:hAnsi="Times New Roman"/>
                <w:sz w:val="12"/>
                <w:szCs w:val="12"/>
                <w:color w:val="0000FF"/>
              </w:rPr>
              <w:t>of Board, President &amp; Chief Executive Officer</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under Exhibit 10(x)(1)</w:t>
            </w:r>
          </w:p>
        </w:tc>
        <w:tc>
          <w:tcPr>
            <w:tcW w:w="1200" w:type="dxa"/>
            <w:vAlign w:val="bottom"/>
            <w:tcBorders>
              <w:top w:val="single" w:sz="8" w:color="0000FF"/>
            </w:tcBorders>
            <w:gridSpan w:val="9"/>
          </w:tcPr>
          <w:p>
            <w:pPr>
              <w:spacing w:after="0"/>
              <w:rPr>
                <w:sz w:val="9"/>
                <w:szCs w:val="9"/>
                <w:color w:val="auto"/>
              </w:rPr>
            </w:pPr>
          </w:p>
        </w:tc>
        <w:tc>
          <w:tcPr>
            <w:tcW w:w="100" w:type="dxa"/>
            <w:vAlign w:val="bottom"/>
            <w:gridSpan w:val="5"/>
          </w:tcPr>
          <w:p>
            <w:pPr>
              <w:spacing w:after="0"/>
              <w:rPr>
                <w:sz w:val="9"/>
                <w:szCs w:val="9"/>
                <w:color w:val="auto"/>
              </w:rPr>
            </w:pPr>
          </w:p>
        </w:tc>
        <w:tc>
          <w:tcPr>
            <w:tcW w:w="14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†*10(x)(17)</w:t>
            </w:r>
          </w:p>
        </w:tc>
        <w:tc>
          <w:tcPr>
            <w:tcW w:w="2920" w:type="dxa"/>
            <w:vAlign w:val="bottom"/>
            <w:gridSpan w:val="24"/>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Form of Restricted Stock Unit Award Agreement</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9"/>
          </w:tcPr>
          <w:p>
            <w:pPr>
              <w:spacing w:after="0" w:line="107" w:lineRule="exact"/>
              <w:rPr>
                <w:sz w:val="20"/>
                <w:szCs w:val="20"/>
                <w:color w:val="auto"/>
              </w:rPr>
            </w:pPr>
            <w:r>
              <w:rPr>
                <w:rFonts w:ascii="Times New Roman" w:cs="Times New Roman" w:eastAsia="Times New Roman" w:hAnsi="Times New Roman"/>
                <w:sz w:val="12"/>
                <w:szCs w:val="12"/>
                <w:color w:val="0000FF"/>
              </w:rPr>
              <w:t>for Chair of Board, President &amp; Chief Executive</w:t>
            </w:r>
          </w:p>
        </w:tc>
        <w:tc>
          <w:tcPr>
            <w:tcW w:w="1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8"/>
          </w:tcPr>
          <w:p>
            <w:pPr>
              <w:spacing w:after="0" w:line="107" w:lineRule="exact"/>
              <w:rPr>
                <w:sz w:val="20"/>
                <w:szCs w:val="20"/>
                <w:color w:val="auto"/>
              </w:rPr>
            </w:pPr>
            <w:r>
              <w:rPr>
                <w:rFonts w:ascii="Times New Roman" w:cs="Times New Roman" w:eastAsia="Times New Roman" w:hAnsi="Times New Roman"/>
                <w:sz w:val="12"/>
                <w:szCs w:val="12"/>
                <w:color w:val="0000FF"/>
              </w:rPr>
              <w:t>Officer under Exhibit 10(x)(1)</w:t>
            </w:r>
          </w:p>
        </w:tc>
        <w:tc>
          <w:tcPr>
            <w:tcW w:w="14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07124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431">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13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13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4"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2022</w:t>
      </w:r>
    </w:p>
    <w:p>
      <w:pPr>
        <w:spacing w:after="0" w:line="6"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2022</w:t>
      </w:r>
    </w:p>
    <w:p>
      <w:pPr>
        <w:spacing w:after="0" w:line="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March 15, 2023</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September 27, 2023</w:t>
      </w:r>
    </w:p>
    <w:p>
      <w:pPr>
        <w:spacing w:after="0" w:line="13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September 27, 2023</w:t>
      </w:r>
    </w:p>
    <w:p>
      <w:pPr>
        <w:spacing w:after="0" w:line="132"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2023</w:t>
      </w:r>
    </w:p>
    <w:p>
      <w:pPr>
        <w:spacing w:after="0" w:line="6"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2023</w:t>
      </w:r>
    </w:p>
    <w:p>
      <w:pPr>
        <w:spacing w:after="0" w:line="6"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1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10.7</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10.8</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10(ee)(9)</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10(ee)(10)</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10(cc)(13)</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10(cc)(14)</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10(cc)(15)</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3">
            <w:col w:w="4180" w:space="120"/>
            <w:col w:w="1640" w:space="120"/>
            <w:col w:w="5220"/>
          </w:cols>
          <w:pgMar w:left="300" w:top="819" w:right="31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4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5" w:name="page216"/>
    <w:bookmarkEnd w:id="215"/>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gridSpan w:val="26"/>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10(y)(1)</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380" w:type="dxa"/>
            <w:vAlign w:val="bottom"/>
            <w:tcBorders>
              <w:bottom w:val="single" w:sz="8" w:color="0000FF"/>
            </w:tcBorders>
            <w:gridSpan w:val="10"/>
          </w:tcPr>
          <w:p>
            <w:pPr>
              <w:spacing w:after="0" w:line="138" w:lineRule="exact"/>
              <w:rPr>
                <w:rFonts w:ascii="Times New Roman" w:cs="Times New Roman" w:eastAsia="Times New Roman" w:hAnsi="Times New Roman"/>
                <w:sz w:val="13"/>
                <w:szCs w:val="13"/>
                <w:color w:val="0000FF"/>
                <w:w w:val="97"/>
              </w:rPr>
            </w:pPr>
            <w:hyperlink r:id="rId433">
              <w:r>
                <w:rPr>
                  <w:rFonts w:ascii="Times New Roman" w:cs="Times New Roman" w:eastAsia="Times New Roman" w:hAnsi="Times New Roman"/>
                  <w:sz w:val="13"/>
                  <w:szCs w:val="13"/>
                  <w:u w:val="single" w:color="auto"/>
                  <w:color w:val="0000FF"/>
                  <w:w w:val="97"/>
                </w:rPr>
                <w:t>$</w:t>
              </w:r>
              <w:r>
                <w:rPr>
                  <w:rFonts w:ascii="Times New Roman" w:cs="Times New Roman" w:eastAsia="Times New Roman" w:hAnsi="Times New Roman"/>
                  <w:sz w:val="13"/>
                  <w:szCs w:val="13"/>
                  <w:color w:val="0000FF"/>
                  <w:w w:val="97"/>
                </w:rPr>
                <w:t>2,400,000,000 Amended and Restated Credit</w:t>
              </w:r>
            </w:hyperlink>
          </w:p>
        </w:tc>
        <w:tc>
          <w:tcPr>
            <w:tcW w:w="360" w:type="dxa"/>
            <w:vAlign w:val="bottom"/>
            <w:gridSpan w:val="18"/>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8"/>
          </w:tcPr>
          <w:p>
            <w:pPr>
              <w:spacing w:after="0" w:line="107" w:lineRule="exact"/>
              <w:rPr>
                <w:rFonts w:ascii="Times New Roman" w:cs="Times New Roman" w:eastAsia="Times New Roman" w:hAnsi="Times New Roman"/>
                <w:sz w:val="12"/>
                <w:szCs w:val="12"/>
                <w:color w:val="0000FF"/>
              </w:rPr>
            </w:pPr>
            <w:hyperlink r:id="rId433">
              <w:r>
                <w:rPr>
                  <w:rFonts w:ascii="Times New Roman" w:cs="Times New Roman" w:eastAsia="Times New Roman" w:hAnsi="Times New Roman"/>
                  <w:sz w:val="12"/>
                  <w:szCs w:val="12"/>
                  <w:color w:val="0000FF"/>
                </w:rPr>
                <w:t>Agreement dated as of December 6, 2022 among</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bottom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433">
              <w:r>
                <w:rPr>
                  <w:rFonts w:ascii="Times New Roman" w:cs="Times New Roman" w:eastAsia="Times New Roman" w:hAnsi="Times New Roman"/>
                  <w:sz w:val="12"/>
                  <w:szCs w:val="12"/>
                  <w:color w:val="0000FF"/>
                </w:rPr>
                <w:t>CenterPoint Energy, Inc., as Borrower, JPMorgan</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24"/>
          </w:tcPr>
          <w:p>
            <w:pPr>
              <w:spacing w:after="0" w:line="107" w:lineRule="exact"/>
              <w:rPr>
                <w:rFonts w:ascii="Times New Roman" w:cs="Times New Roman" w:eastAsia="Times New Roman" w:hAnsi="Times New Roman"/>
                <w:sz w:val="12"/>
                <w:szCs w:val="12"/>
                <w:color w:val="0000FF"/>
              </w:rPr>
            </w:pPr>
            <w:hyperlink r:id="rId433">
              <w:r>
                <w:rPr>
                  <w:rFonts w:ascii="Times New Roman" w:cs="Times New Roman" w:eastAsia="Times New Roman" w:hAnsi="Times New Roman"/>
                  <w:sz w:val="12"/>
                  <w:szCs w:val="12"/>
                  <w:color w:val="0000FF"/>
                </w:rPr>
                <w:t>Chase Bank, N.A., as Administrative Agent, the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433">
              <w:r>
                <w:rPr>
                  <w:rFonts w:ascii="Times New Roman" w:cs="Times New Roman" w:eastAsia="Times New Roman" w:hAnsi="Times New Roman"/>
                  <w:sz w:val="12"/>
                  <w:szCs w:val="12"/>
                  <w:color w:val="0000FF"/>
                </w:rPr>
                <w:t>financial institutions as bank parties thereto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33">
              <w:r>
                <w:rPr>
                  <w:rFonts w:ascii="Times New Roman" w:cs="Times New Roman" w:eastAsia="Times New Roman" w:hAnsi="Times New Roman"/>
                  <w:sz w:val="12"/>
                  <w:szCs w:val="12"/>
                  <w:color w:val="0000FF"/>
                </w:rPr>
                <w:t>the other parties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10(y)(2)</w:t>
            </w:r>
          </w:p>
        </w:tc>
        <w:tc>
          <w:tcPr>
            <w:tcW w:w="306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4">
              <w:r>
                <w:rPr>
                  <w:rFonts w:ascii="Times New Roman" w:cs="Times New Roman" w:eastAsia="Times New Roman" w:hAnsi="Times New Roman"/>
                  <w:sz w:val="13"/>
                  <w:szCs w:val="13"/>
                  <w:color w:val="0000FF"/>
                </w:rPr>
                <w:t>First Amendment to Exhibit 10(y)(1),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July 26, 2023</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10(y)(3)</w:t>
            </w:r>
          </w:p>
        </w:tc>
        <w:tc>
          <w:tcPr>
            <w:tcW w:w="306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5">
              <w:r>
                <w:rPr>
                  <w:rFonts w:ascii="Times New Roman" w:cs="Times New Roman" w:eastAsia="Times New Roman" w:hAnsi="Times New Roman"/>
                  <w:sz w:val="13"/>
                  <w:szCs w:val="13"/>
                  <w:color w:val="0000FF"/>
                </w:rPr>
                <w:t>Extension Agreement to Exhibit 10(y)(1),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435">
              <w:r>
                <w:rPr>
                  <w:rFonts w:ascii="Times New Roman" w:cs="Times New Roman" w:eastAsia="Times New Roman" w:hAnsi="Times New Roman"/>
                  <w:sz w:val="12"/>
                  <w:szCs w:val="12"/>
                  <w:color w:val="0000FF"/>
                </w:rPr>
                <w:t>as of January 29, 2025</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10(z)(1)</w:t>
            </w:r>
          </w:p>
        </w:tc>
        <w:tc>
          <w:tcPr>
            <w:tcW w:w="306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6">
              <w:r>
                <w:rPr>
                  <w:rFonts w:ascii="Times New Roman" w:cs="Times New Roman" w:eastAsia="Times New Roman" w:hAnsi="Times New Roman"/>
                  <w:sz w:val="13"/>
                  <w:szCs w:val="13"/>
                  <w:u w:val="single" w:color="auto"/>
                  <w:color w:val="0000FF"/>
                </w:rPr>
                <w:t>$300,000,000 Credit Agreement dated as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8"/>
          </w:tcPr>
          <w:p>
            <w:pPr>
              <w:spacing w:after="0" w:line="107" w:lineRule="exact"/>
              <w:rPr>
                <w:rFonts w:ascii="Times New Roman" w:cs="Times New Roman" w:eastAsia="Times New Roman" w:hAnsi="Times New Roman"/>
                <w:sz w:val="12"/>
                <w:szCs w:val="12"/>
                <w:color w:val="0000FF"/>
              </w:rPr>
            </w:pPr>
            <w:hyperlink r:id="rId436">
              <w:r>
                <w:rPr>
                  <w:rFonts w:ascii="Times New Roman" w:cs="Times New Roman" w:eastAsia="Times New Roman" w:hAnsi="Times New Roman"/>
                  <w:sz w:val="12"/>
                  <w:szCs w:val="12"/>
                  <w:color w:val="0000FF"/>
                </w:rPr>
                <w:t>December 6, 2022 among CenterPoint 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436">
              <w:r>
                <w:rPr>
                  <w:rFonts w:ascii="Times New Roman" w:cs="Times New Roman" w:eastAsia="Times New Roman" w:hAnsi="Times New Roman"/>
                  <w:sz w:val="12"/>
                  <w:szCs w:val="12"/>
                  <w:color w:val="0000FF"/>
                </w:rPr>
                <w:t>Houston Electric, LLC, as Borrower, Mizuho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8"/>
          </w:tcPr>
          <w:p>
            <w:pPr>
              <w:spacing w:after="0" w:line="107" w:lineRule="exact"/>
              <w:rPr>
                <w:rFonts w:ascii="Times New Roman" w:cs="Times New Roman" w:eastAsia="Times New Roman" w:hAnsi="Times New Roman"/>
                <w:sz w:val="12"/>
                <w:szCs w:val="12"/>
                <w:color w:val="0000FF"/>
              </w:rPr>
            </w:pPr>
            <w:hyperlink r:id="rId436">
              <w:r>
                <w:rPr>
                  <w:rFonts w:ascii="Times New Roman" w:cs="Times New Roman" w:eastAsia="Times New Roman" w:hAnsi="Times New Roman"/>
                  <w:sz w:val="12"/>
                  <w:szCs w:val="12"/>
                  <w:color w:val="0000FF"/>
                </w:rPr>
                <w:t>Bank, Ltd., as Administrative Agent, the financial</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436">
              <w:r>
                <w:rPr>
                  <w:rFonts w:ascii="Times New Roman" w:cs="Times New Roman" w:eastAsia="Times New Roman" w:hAnsi="Times New Roman"/>
                  <w:sz w:val="12"/>
                  <w:szCs w:val="12"/>
                  <w:color w:val="0000FF"/>
                </w:rPr>
                <w:t>institutions as bank parties thereto and the other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436">
              <w:r>
                <w:rPr>
                  <w:rFonts w:ascii="Times New Roman" w:cs="Times New Roman" w:eastAsia="Times New Roman" w:hAnsi="Times New Roman"/>
                  <w:sz w:val="12"/>
                  <w:szCs w:val="12"/>
                  <w:color w:val="0000FF"/>
                </w:rPr>
                <w:t>parties thereto</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10(z)(2)</w:t>
            </w:r>
          </w:p>
        </w:tc>
        <w:tc>
          <w:tcPr>
            <w:tcW w:w="306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7">
              <w:r>
                <w:rPr>
                  <w:rFonts w:ascii="Times New Roman" w:cs="Times New Roman" w:eastAsia="Times New Roman" w:hAnsi="Times New Roman"/>
                  <w:sz w:val="13"/>
                  <w:szCs w:val="13"/>
                  <w:color w:val="0000FF"/>
                </w:rPr>
                <w:t>Extension Agreement to Exhibit 10(z)(1), dated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437">
              <w:r>
                <w:rPr>
                  <w:rFonts w:ascii="Times New Roman" w:cs="Times New Roman" w:eastAsia="Times New Roman" w:hAnsi="Times New Roman"/>
                  <w:sz w:val="12"/>
                  <w:szCs w:val="12"/>
                  <w:color w:val="0000FF"/>
                </w:rPr>
                <w:t>of January 29, 2025</w:t>
              </w:r>
            </w:hyperlink>
          </w:p>
        </w:tc>
        <w:tc>
          <w:tcPr>
            <w:tcW w:w="1700" w:type="dxa"/>
            <w:vAlign w:val="bottom"/>
            <w:tcBorders>
              <w:top w:val="single" w:sz="8" w:color="0000FF"/>
            </w:tcBorders>
            <w:gridSpan w:val="2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10(aa)(1)</w:t>
            </w:r>
          </w:p>
        </w:tc>
        <w:tc>
          <w:tcPr>
            <w:tcW w:w="306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8">
              <w:r>
                <w:rPr>
                  <w:rFonts w:ascii="Times New Roman" w:cs="Times New Roman" w:eastAsia="Times New Roman" w:hAnsi="Times New Roman"/>
                  <w:sz w:val="13"/>
                  <w:szCs w:val="13"/>
                  <w:u w:val="single" w:color="auto"/>
                  <w:color w:val="0000FF"/>
                </w:rPr>
                <w:t>$1,050,000,000 Credit Agreement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438">
              <w:r>
                <w:rPr>
                  <w:rFonts w:ascii="Times New Roman" w:cs="Times New Roman" w:eastAsia="Times New Roman" w:hAnsi="Times New Roman"/>
                  <w:sz w:val="12"/>
                  <w:szCs w:val="12"/>
                  <w:color w:val="0000FF"/>
                </w:rPr>
                <w:t>December 6, 2022 among CenterPoint Energy</w:t>
              </w:r>
            </w:hyperlink>
          </w:p>
        </w:tc>
        <w:tc>
          <w:tcPr>
            <w:tcW w:w="4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8"/>
          </w:tcPr>
          <w:p>
            <w:pPr>
              <w:spacing w:after="0" w:line="107" w:lineRule="exact"/>
              <w:rPr>
                <w:rFonts w:ascii="Times New Roman" w:cs="Times New Roman" w:eastAsia="Times New Roman" w:hAnsi="Times New Roman"/>
                <w:sz w:val="12"/>
                <w:szCs w:val="12"/>
                <w:color w:val="0000FF"/>
              </w:rPr>
            </w:pPr>
            <w:hyperlink r:id="rId438">
              <w:r>
                <w:rPr>
                  <w:rFonts w:ascii="Times New Roman" w:cs="Times New Roman" w:eastAsia="Times New Roman" w:hAnsi="Times New Roman"/>
                  <w:sz w:val="12"/>
                  <w:szCs w:val="12"/>
                  <w:color w:val="0000FF"/>
                </w:rPr>
                <w:t>Resources Corp., as Borrower, Wells Fargo Bank,</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438">
              <w:r>
                <w:rPr>
                  <w:rFonts w:ascii="Times New Roman" w:cs="Times New Roman" w:eastAsia="Times New Roman" w:hAnsi="Times New Roman"/>
                  <w:sz w:val="12"/>
                  <w:szCs w:val="12"/>
                  <w:color w:val="0000FF"/>
                </w:rPr>
                <w:t>National Association, as Administrative Agent,</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438">
              <w:r>
                <w:rPr>
                  <w:rFonts w:ascii="Times New Roman" w:cs="Times New Roman" w:eastAsia="Times New Roman" w:hAnsi="Times New Roman"/>
                  <w:sz w:val="12"/>
                  <w:szCs w:val="12"/>
                  <w:color w:val="0000FF"/>
                </w:rPr>
                <w:t>the financial institutions as bank parties thereto</w:t>
              </w:r>
            </w:hyperlink>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438">
              <w:r>
                <w:rPr>
                  <w:rFonts w:ascii="Times New Roman" w:cs="Times New Roman" w:eastAsia="Times New Roman" w:hAnsi="Times New Roman"/>
                  <w:sz w:val="12"/>
                  <w:szCs w:val="12"/>
                  <w:color w:val="0000FF"/>
                </w:rPr>
                <w:t>and the other parties thereto</w:t>
              </w:r>
            </w:hyperlink>
          </w:p>
        </w:tc>
        <w:tc>
          <w:tcPr>
            <w:tcW w:w="10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10(aa)(2)</w:t>
            </w:r>
          </w:p>
        </w:tc>
        <w:tc>
          <w:tcPr>
            <w:tcW w:w="306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9">
              <w:r>
                <w:rPr>
                  <w:rFonts w:ascii="Times New Roman" w:cs="Times New Roman" w:eastAsia="Times New Roman" w:hAnsi="Times New Roman"/>
                  <w:sz w:val="13"/>
                  <w:szCs w:val="13"/>
                  <w:color w:val="0000FF"/>
                </w:rPr>
                <w:t>Extension Agreement to Exhibit 10(aa)(1),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439">
              <w:r>
                <w:rPr>
                  <w:rFonts w:ascii="Times New Roman" w:cs="Times New Roman" w:eastAsia="Times New Roman" w:hAnsi="Times New Roman"/>
                  <w:sz w:val="12"/>
                  <w:szCs w:val="12"/>
                  <w:color w:val="0000FF"/>
                </w:rPr>
                <w:t>as of January 29, 2025</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10(bb)(1)</w:t>
            </w:r>
          </w:p>
        </w:tc>
        <w:tc>
          <w:tcPr>
            <w:tcW w:w="306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40">
              <w:r>
                <w:rPr>
                  <w:rFonts w:ascii="Times New Roman" w:cs="Times New Roman" w:eastAsia="Times New Roman" w:hAnsi="Times New Roman"/>
                  <w:sz w:val="13"/>
                  <w:szCs w:val="13"/>
                  <w:u w:val="single" w:color="auto"/>
                  <w:color w:val="0000FF"/>
                </w:rPr>
                <w:t>$250,000,000 Credit Agreement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440">
              <w:r>
                <w:rPr>
                  <w:rFonts w:ascii="Times New Roman" w:cs="Times New Roman" w:eastAsia="Times New Roman" w:hAnsi="Times New Roman"/>
                  <w:sz w:val="12"/>
                  <w:szCs w:val="12"/>
                  <w:color w:val="0000FF"/>
                </w:rPr>
                <w:t>December 6, 2022 among Southern Indiana</w:t>
              </w:r>
            </w:hyperlink>
          </w:p>
        </w:tc>
        <w:tc>
          <w:tcPr>
            <w:tcW w:w="480" w:type="dxa"/>
            <w:vAlign w:val="bottom"/>
            <w:gridSpan w:val="21"/>
          </w:tcPr>
          <w:p>
            <w:pPr>
              <w:spacing w:after="0" w:line="107" w:lineRule="exact"/>
              <w:rPr>
                <w:rFonts w:ascii="Times New Roman" w:cs="Times New Roman" w:eastAsia="Times New Roman" w:hAnsi="Times New Roman"/>
                <w:sz w:val="12"/>
                <w:szCs w:val="12"/>
                <w:color w:val="0000FF"/>
              </w:rPr>
            </w:pPr>
            <w:hyperlink r:id="rId440">
              <w:r>
                <w:rPr>
                  <w:rFonts w:ascii="Times New Roman" w:cs="Times New Roman" w:eastAsia="Times New Roman" w:hAnsi="Times New Roman"/>
                  <w:sz w:val="12"/>
                  <w:szCs w:val="12"/>
                  <w:color w:val="0000FF"/>
                </w:rPr>
                <w:t>Gas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440">
              <w:r>
                <w:rPr>
                  <w:rFonts w:ascii="Times New Roman" w:cs="Times New Roman" w:eastAsia="Times New Roman" w:hAnsi="Times New Roman"/>
                  <w:sz w:val="12"/>
                  <w:szCs w:val="12"/>
                  <w:color w:val="0000FF"/>
                </w:rPr>
                <w:t>and Electric Company, as Borrower, Wells Fargo</w:t>
              </w:r>
            </w:hyperlink>
          </w:p>
        </w:tc>
        <w:tc>
          <w:tcPr>
            <w:tcW w:w="60" w:type="dxa"/>
            <w:vAlign w:val="bottom"/>
            <w:tcBorders>
              <w:bottom w:val="single" w:sz="8" w:color="0000FF"/>
            </w:tcBorders>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20"/>
          </w:tcPr>
          <w:p>
            <w:pPr>
              <w:spacing w:after="0" w:line="107" w:lineRule="exact"/>
              <w:rPr>
                <w:rFonts w:ascii="Times New Roman" w:cs="Times New Roman" w:eastAsia="Times New Roman" w:hAnsi="Times New Roman"/>
                <w:sz w:val="12"/>
                <w:szCs w:val="12"/>
                <w:color w:val="0000FF"/>
              </w:rPr>
            </w:pPr>
            <w:hyperlink r:id="rId440">
              <w:r>
                <w:rPr>
                  <w:rFonts w:ascii="Times New Roman" w:cs="Times New Roman" w:eastAsia="Times New Roman" w:hAnsi="Times New Roman"/>
                  <w:sz w:val="12"/>
                  <w:szCs w:val="12"/>
                  <w:color w:val="0000FF"/>
                </w:rPr>
                <w:t>Bank, National Association, as Administrative</w:t>
              </w:r>
            </w:hyperlink>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40">
              <w:r>
                <w:rPr>
                  <w:rFonts w:ascii="Times New Roman" w:cs="Times New Roman" w:eastAsia="Times New Roman" w:hAnsi="Times New Roman"/>
                  <w:sz w:val="12"/>
                  <w:szCs w:val="12"/>
                  <w:color w:val="0000FF"/>
                </w:rPr>
                <w:t>Agent, the financial institutions as bank parties</w:t>
              </w:r>
            </w:hyperlink>
          </w:p>
        </w:tc>
        <w:tc>
          <w:tcPr>
            <w:tcW w:w="20" w:type="dxa"/>
            <w:vAlign w:val="bottom"/>
            <w:tcBorders>
              <w:bottom w:val="single" w:sz="8" w:color="0000FF"/>
            </w:tcBorders>
          </w:tcPr>
          <w:p>
            <w:pPr>
              <w:spacing w:after="0"/>
              <w:rPr>
                <w:sz w:val="9"/>
                <w:szCs w:val="9"/>
                <w:color w:val="auto"/>
              </w:rPr>
            </w:pPr>
          </w:p>
        </w:tc>
        <w:tc>
          <w:tcPr>
            <w:tcW w:w="220" w:type="dxa"/>
            <w:vAlign w:val="bottom"/>
            <w:gridSpan w:val="11"/>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gridSpan w:val="11"/>
          </w:tcPr>
          <w:p>
            <w:pPr>
              <w:spacing w:after="0" w:line="107" w:lineRule="exact"/>
              <w:rPr>
                <w:rFonts w:ascii="Times New Roman" w:cs="Times New Roman" w:eastAsia="Times New Roman" w:hAnsi="Times New Roman"/>
                <w:sz w:val="12"/>
                <w:szCs w:val="12"/>
                <w:color w:val="0000FF"/>
              </w:rPr>
            </w:pPr>
            <w:hyperlink r:id="rId440">
              <w:r>
                <w:rPr>
                  <w:rFonts w:ascii="Times New Roman" w:cs="Times New Roman" w:eastAsia="Times New Roman" w:hAnsi="Times New Roman"/>
                  <w:sz w:val="12"/>
                  <w:szCs w:val="12"/>
                  <w:color w:val="0000FF"/>
                </w:rPr>
                <w:t>thereto and the other parties thereto</w:t>
              </w:r>
            </w:hyperlink>
          </w:p>
        </w:tc>
        <w:tc>
          <w:tcPr>
            <w:tcW w:w="220" w:type="dxa"/>
            <w:vAlign w:val="bottom"/>
            <w:gridSpan w:val="11"/>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820" w:type="dxa"/>
            <w:vAlign w:val="bottom"/>
            <w:gridSpan w:val="1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10(bb)(2)</w:t>
            </w:r>
          </w:p>
        </w:tc>
        <w:tc>
          <w:tcPr>
            <w:tcW w:w="306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41">
              <w:r>
                <w:rPr>
                  <w:rFonts w:ascii="Times New Roman" w:cs="Times New Roman" w:eastAsia="Times New Roman" w:hAnsi="Times New Roman"/>
                  <w:sz w:val="13"/>
                  <w:szCs w:val="13"/>
                  <w:color w:val="0000FF"/>
                </w:rPr>
                <w:t>Extension Agreement to Exhibit 10(bb)(1),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441">
              <w:r>
                <w:rPr>
                  <w:rFonts w:ascii="Times New Roman" w:cs="Times New Roman" w:eastAsia="Times New Roman" w:hAnsi="Times New Roman"/>
                  <w:sz w:val="12"/>
                  <w:szCs w:val="12"/>
                  <w:color w:val="0000FF"/>
                </w:rPr>
                <w:t>as of January 29, 2025</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68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w w:val="98"/>
              </w:rPr>
              <w:t>CenterPoint Energy’s 8-K dated</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0"/>
                <w:szCs w:val="10"/>
                <w:color w:val="auto"/>
              </w:rPr>
            </w:pPr>
          </w:p>
        </w:tc>
        <w:tc>
          <w:tcPr>
            <w:tcW w:w="106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6,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 for the quarter ended June 30,</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January 29,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8-K dated</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6,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January 29,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8-K dated</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6,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January 29,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8-K dated</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6,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January 29,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180" w:space="100"/>
            <w:col w:w="7000"/>
          </w:cols>
          <w:pgMar w:left="300" w:top="819" w:right="31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4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6" w:name="page217"/>
    <w:bookmarkEnd w:id="216"/>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gridSpan w:val="18"/>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1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5"/>
              </w:rPr>
              <w:t>10(cc)(1)</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660" w:type="dxa"/>
            <w:vAlign w:val="bottom"/>
            <w:gridSpan w:val="21"/>
          </w:tcPr>
          <w:p>
            <w:pPr>
              <w:spacing w:after="0" w:line="138" w:lineRule="exact"/>
              <w:rPr>
                <w:rFonts w:ascii="Times New Roman" w:cs="Times New Roman" w:eastAsia="Times New Roman" w:hAnsi="Times New Roman"/>
                <w:sz w:val="13"/>
                <w:szCs w:val="13"/>
                <w:color w:val="0000FF"/>
              </w:rPr>
            </w:pPr>
            <w:hyperlink r:id="rId443">
              <w:r>
                <w:rPr>
                  <w:rFonts w:ascii="Times New Roman" w:cs="Times New Roman" w:eastAsia="Times New Roman" w:hAnsi="Times New Roman"/>
                  <w:sz w:val="13"/>
                  <w:szCs w:val="13"/>
                  <w:color w:val="0000FF"/>
                </w:rPr>
                <w:t>Term Loan Agreement dated as of June 24, 2024</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443">
              <w:r>
                <w:rPr>
                  <w:rFonts w:ascii="Times New Roman" w:cs="Times New Roman" w:eastAsia="Times New Roman" w:hAnsi="Times New Roman"/>
                  <w:sz w:val="12"/>
                  <w:szCs w:val="12"/>
                  <w:color w:val="0000FF"/>
                </w:rPr>
                <w:t>among CenterPoint Energy Houston Electric,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443">
              <w:r>
                <w:rPr>
                  <w:rFonts w:ascii="Times New Roman" w:cs="Times New Roman" w:eastAsia="Times New Roman" w:hAnsi="Times New Roman"/>
                  <w:sz w:val="12"/>
                  <w:szCs w:val="12"/>
                  <w:color w:val="0000FF"/>
                </w:rPr>
                <w:t>LLC as borrower, Mizuho Bank, Ltd., as</w:t>
              </w:r>
            </w:hyperlink>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443">
              <w:r>
                <w:rPr>
                  <w:rFonts w:ascii="Times New Roman" w:cs="Times New Roman" w:eastAsia="Times New Roman" w:hAnsi="Times New Roman"/>
                  <w:sz w:val="12"/>
                  <w:szCs w:val="12"/>
                  <w:color w:val="0000FF"/>
                </w:rPr>
                <w:t>administrative agent, and the banks party</w:t>
              </w:r>
            </w:hyperlink>
          </w:p>
        </w:tc>
        <w:tc>
          <w:tcPr>
            <w:tcW w:w="40" w:type="dxa"/>
            <w:vAlign w:val="bottom"/>
            <w:tcBorders>
              <w:bottom w:val="single" w:sz="8" w:color="0000FF"/>
            </w:tcBorders>
          </w:tcPr>
          <w:p>
            <w:pPr>
              <w:spacing w:after="0"/>
              <w:rPr>
                <w:sz w:val="9"/>
                <w:szCs w:val="9"/>
                <w:color w:val="auto"/>
              </w:rPr>
            </w:pPr>
          </w:p>
        </w:tc>
        <w:tc>
          <w:tcPr>
            <w:tcW w:w="360" w:type="dxa"/>
            <w:vAlign w:val="bottom"/>
            <w:tcBorders>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43">
              <w:r>
                <w:rPr>
                  <w:rFonts w:ascii="Times New Roman" w:cs="Times New Roman" w:eastAsia="Times New Roman" w:hAnsi="Times New Roman"/>
                  <w:sz w:val="12"/>
                  <w:szCs w:val="12"/>
                  <w:color w:val="0000FF"/>
                </w:rPr>
                <w:t>thereto</w:t>
              </w:r>
            </w:hyperlink>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10(cc)(2)</w:t>
            </w:r>
          </w:p>
        </w:tc>
        <w:tc>
          <w:tcPr>
            <w:tcW w:w="29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44">
              <w:r>
                <w:rPr>
                  <w:rFonts w:ascii="Times New Roman" w:cs="Times New Roman" w:eastAsia="Times New Roman" w:hAnsi="Times New Roman"/>
                  <w:sz w:val="13"/>
                  <w:szCs w:val="13"/>
                  <w:color w:val="0000FF"/>
                </w:rPr>
                <w:t xml:space="preserve">First Amendment to Exhibit </w:t>
              </w:r>
            </w:hyperlink>
            <w:r>
              <w:rPr>
                <w:rFonts w:ascii="Times New Roman" w:cs="Times New Roman" w:eastAsia="Times New Roman" w:hAnsi="Times New Roman"/>
                <w:sz w:val="13"/>
                <w:szCs w:val="13"/>
                <w:color w:val="auto"/>
              </w:rPr>
              <w:t xml:space="preserve">10(cc)(1), </w:t>
            </w:r>
            <w:hyperlink r:id="rId444">
              <w:r>
                <w:rPr>
                  <w:rFonts w:ascii="Times New Roman" w:cs="Times New Roman" w:eastAsia="Times New Roman" w:hAnsi="Times New Roman"/>
                  <w:sz w:val="13"/>
                  <w:szCs w:val="13"/>
                  <w:color w:val="0000FF"/>
                </w:rPr>
                <w:t>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444">
              <w:r>
                <w:rPr>
                  <w:rFonts w:ascii="Times New Roman" w:cs="Times New Roman" w:eastAsia="Times New Roman" w:hAnsi="Times New Roman"/>
                  <w:sz w:val="12"/>
                  <w:szCs w:val="12"/>
                  <w:color w:val="0000FF"/>
                </w:rPr>
                <w:t>November 20, 2025</w:t>
              </w:r>
            </w:hyperlink>
          </w:p>
        </w:tc>
        <w:tc>
          <w:tcPr>
            <w:tcW w:w="1580" w:type="dxa"/>
            <w:vAlign w:val="bottom"/>
            <w:tcBorders>
              <w:top w:val="single" w:sz="8" w:color="0000FF"/>
            </w:tcBorders>
            <w:gridSpan w:val="1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*10(dd)</w:t>
            </w:r>
          </w:p>
        </w:tc>
        <w:tc>
          <w:tcPr>
            <w:tcW w:w="29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45">
              <w:r>
                <w:rPr>
                  <w:rFonts w:ascii="Times New Roman" w:cs="Times New Roman" w:eastAsia="Times New Roman" w:hAnsi="Times New Roman"/>
                  <w:sz w:val="13"/>
                  <w:szCs w:val="13"/>
                  <w:color w:val="0000FF"/>
                </w:rPr>
                <w:t>Christopher A. Foster Offer Letter</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10(ee)</w:t>
            </w:r>
          </w:p>
        </w:tc>
        <w:tc>
          <w:tcPr>
            <w:tcW w:w="29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46">
              <w:r>
                <w:rPr>
                  <w:rFonts w:ascii="Times New Roman" w:cs="Times New Roman" w:eastAsia="Times New Roman" w:hAnsi="Times New Roman"/>
                  <w:sz w:val="13"/>
                  <w:szCs w:val="13"/>
                  <w:color w:val="0000FF"/>
                </w:rPr>
                <w:t>Bond Purchase Agreement dated March 15, 2023</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46">
              <w:r>
                <w:rPr>
                  <w:rFonts w:ascii="Times New Roman" w:cs="Times New Roman" w:eastAsia="Times New Roman" w:hAnsi="Times New Roman"/>
                  <w:sz w:val="12"/>
                  <w:szCs w:val="12"/>
                  <w:color w:val="0000FF"/>
                </w:rPr>
                <w:t>among SIGECO and the purchasers listed on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446">
              <w:r>
                <w:rPr>
                  <w:rFonts w:ascii="Times New Roman" w:cs="Times New Roman" w:eastAsia="Times New Roman" w:hAnsi="Times New Roman"/>
                  <w:sz w:val="12"/>
                  <w:szCs w:val="12"/>
                  <w:color w:val="0000FF"/>
                </w:rPr>
                <w:t>Schedule B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10(ff)</w:t>
            </w:r>
          </w:p>
        </w:tc>
        <w:tc>
          <w:tcPr>
            <w:tcW w:w="29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47">
              <w:r>
                <w:rPr>
                  <w:rFonts w:ascii="Times New Roman" w:cs="Times New Roman" w:eastAsia="Times New Roman" w:hAnsi="Times New Roman"/>
                  <w:sz w:val="13"/>
                  <w:szCs w:val="13"/>
                  <w:color w:val="0000FF"/>
                </w:rPr>
                <w:t>Bond Purchase Agreement dated October 13,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21"/>
          </w:tcPr>
          <w:p>
            <w:pPr>
              <w:spacing w:after="0" w:line="107" w:lineRule="exact"/>
              <w:rPr>
                <w:rFonts w:ascii="Times New Roman" w:cs="Times New Roman" w:eastAsia="Times New Roman" w:hAnsi="Times New Roman"/>
                <w:sz w:val="12"/>
                <w:szCs w:val="12"/>
                <w:color w:val="0000FF"/>
              </w:rPr>
            </w:pPr>
            <w:hyperlink r:id="rId447">
              <w:r>
                <w:rPr>
                  <w:rFonts w:ascii="Times New Roman" w:cs="Times New Roman" w:eastAsia="Times New Roman" w:hAnsi="Times New Roman"/>
                  <w:sz w:val="12"/>
                  <w:szCs w:val="12"/>
                  <w:color w:val="0000FF"/>
                </w:rPr>
                <w:t>2023 among SIGECO and the purchasers listed on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447">
              <w:r>
                <w:rPr>
                  <w:rFonts w:ascii="Times New Roman" w:cs="Times New Roman" w:eastAsia="Times New Roman" w:hAnsi="Times New Roman"/>
                  <w:sz w:val="12"/>
                  <w:szCs w:val="12"/>
                  <w:color w:val="0000FF"/>
                </w:rPr>
                <w:t>Schedule B thereto</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10(gg)</w:t>
            </w:r>
          </w:p>
        </w:tc>
        <w:tc>
          <w:tcPr>
            <w:tcW w:w="29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48">
              <w:r>
                <w:rPr>
                  <w:rFonts w:ascii="Times New Roman" w:cs="Times New Roman" w:eastAsia="Times New Roman" w:hAnsi="Times New Roman"/>
                  <w:sz w:val="13"/>
                  <w:szCs w:val="13"/>
                  <w:color w:val="0000FF"/>
                </w:rPr>
                <w:t>Bond Purchase Agreement dated August 29, 2024</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448">
              <w:r>
                <w:rPr>
                  <w:rFonts w:ascii="Times New Roman" w:cs="Times New Roman" w:eastAsia="Times New Roman" w:hAnsi="Times New Roman"/>
                  <w:sz w:val="12"/>
                  <w:szCs w:val="12"/>
                  <w:color w:val="0000FF"/>
                </w:rPr>
                <w:t>among Southern Indiana Gas and Electric</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21"/>
          </w:tcPr>
          <w:p>
            <w:pPr>
              <w:spacing w:after="0" w:line="107" w:lineRule="exact"/>
              <w:rPr>
                <w:rFonts w:ascii="Times New Roman" w:cs="Times New Roman" w:eastAsia="Times New Roman" w:hAnsi="Times New Roman"/>
                <w:sz w:val="12"/>
                <w:szCs w:val="12"/>
                <w:color w:val="0000FF"/>
              </w:rPr>
            </w:pPr>
            <w:hyperlink r:id="rId448">
              <w:r>
                <w:rPr>
                  <w:rFonts w:ascii="Times New Roman" w:cs="Times New Roman" w:eastAsia="Times New Roman" w:hAnsi="Times New Roman"/>
                  <w:sz w:val="12"/>
                  <w:szCs w:val="12"/>
                  <w:color w:val="0000FF"/>
                </w:rPr>
                <w:t>Company and the purchasers listed on Schedule B</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448">
              <w:r>
                <w:rPr>
                  <w:rFonts w:ascii="Times New Roman" w:cs="Times New Roman" w:eastAsia="Times New Roman" w:hAnsi="Times New Roman"/>
                  <w:sz w:val="12"/>
                  <w:szCs w:val="12"/>
                  <w:color w:val="0000FF"/>
                </w:rPr>
                <w:t>thereto</w:t>
              </w:r>
            </w:hyperlink>
          </w:p>
        </w:tc>
        <w:tc>
          <w:tcPr>
            <w:tcW w:w="2240" w:type="dxa"/>
            <w:vAlign w:val="bottom"/>
            <w:tcBorders>
              <w:top w:val="single" w:sz="8" w:color="0000FF"/>
            </w:tcBorders>
            <w:gridSpan w:val="17"/>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10(hh)</w:t>
            </w:r>
          </w:p>
        </w:tc>
        <w:tc>
          <w:tcPr>
            <w:tcW w:w="29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49">
              <w:r>
                <w:rPr>
                  <w:rFonts w:ascii="Times New Roman" w:cs="Times New Roman" w:eastAsia="Times New Roman" w:hAnsi="Times New Roman"/>
                  <w:sz w:val="13"/>
                  <w:szCs w:val="13"/>
                  <w:color w:val="0000FF"/>
                </w:rPr>
                <w:t>Bond Purchase Agreement dated July 1, 2025</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49">
              <w:r>
                <w:rPr>
                  <w:rFonts w:ascii="Times New Roman" w:cs="Times New Roman" w:eastAsia="Times New Roman" w:hAnsi="Times New Roman"/>
                  <w:sz w:val="12"/>
                  <w:szCs w:val="12"/>
                  <w:color w:val="0000FF"/>
                </w:rPr>
                <w:t>among Southern Indiana Gas and Electric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21"/>
          </w:tcPr>
          <w:p>
            <w:pPr>
              <w:spacing w:after="0" w:line="107" w:lineRule="exact"/>
              <w:rPr>
                <w:rFonts w:ascii="Times New Roman" w:cs="Times New Roman" w:eastAsia="Times New Roman" w:hAnsi="Times New Roman"/>
                <w:sz w:val="12"/>
                <w:szCs w:val="12"/>
                <w:color w:val="0000FF"/>
              </w:rPr>
            </w:pPr>
            <w:hyperlink r:id="rId449">
              <w:r>
                <w:rPr>
                  <w:rFonts w:ascii="Times New Roman" w:cs="Times New Roman" w:eastAsia="Times New Roman" w:hAnsi="Times New Roman"/>
                  <w:sz w:val="12"/>
                  <w:szCs w:val="12"/>
                  <w:color w:val="0000FF"/>
                </w:rPr>
                <w:t>Company and the purchasers listed on Schedule B</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449">
              <w:r>
                <w:rPr>
                  <w:rFonts w:ascii="Times New Roman" w:cs="Times New Roman" w:eastAsia="Times New Roman" w:hAnsi="Times New Roman"/>
                  <w:sz w:val="12"/>
                  <w:szCs w:val="12"/>
                  <w:color w:val="0000FF"/>
                </w:rPr>
                <w:t>thereto</w:t>
              </w:r>
            </w:hyperlink>
          </w:p>
        </w:tc>
        <w:tc>
          <w:tcPr>
            <w:tcW w:w="2260" w:type="dxa"/>
            <w:vAlign w:val="bottom"/>
            <w:tcBorders>
              <w:top w:val="single" w:sz="8" w:color="0000FF"/>
            </w:tcBorders>
            <w:gridSpan w:val="18"/>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10(ii)</w:t>
            </w:r>
          </w:p>
        </w:tc>
        <w:tc>
          <w:tcPr>
            <w:tcW w:w="29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50">
              <w:r>
                <w:rPr>
                  <w:rFonts w:ascii="Times New Roman" w:cs="Times New Roman" w:eastAsia="Times New Roman" w:hAnsi="Times New Roman"/>
                  <w:sz w:val="13"/>
                  <w:szCs w:val="13"/>
                  <w:color w:val="0000FF"/>
                </w:rPr>
                <w:t>Equity Distribution Agreement, dated January 10,</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450">
              <w:r>
                <w:rPr>
                  <w:rFonts w:ascii="Times New Roman" w:cs="Times New Roman" w:eastAsia="Times New Roman" w:hAnsi="Times New Roman"/>
                  <w:sz w:val="12"/>
                  <w:szCs w:val="12"/>
                  <w:color w:val="0000FF"/>
                </w:rPr>
                <w:t>2024, among CenterPoint Energy, Inc. and BofA</w:t>
              </w:r>
            </w:hyperlink>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450">
              <w:r>
                <w:rPr>
                  <w:rFonts w:ascii="Times New Roman" w:cs="Times New Roman" w:eastAsia="Times New Roman" w:hAnsi="Times New Roman"/>
                  <w:sz w:val="12"/>
                  <w:szCs w:val="12"/>
                  <w:color w:val="0000FF"/>
                </w:rPr>
                <w:t>Securities, Inc., Barclays Capital Inc., Citigroup</w:t>
              </w:r>
            </w:hyperlink>
          </w:p>
        </w:tc>
        <w:tc>
          <w:tcPr>
            <w:tcW w:w="60" w:type="dxa"/>
            <w:vAlign w:val="bottom"/>
            <w:gridSpan w:val="3"/>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11"/>
            <w:shd w:val="clear" w:color="auto" w:fill="0000FF"/>
          </w:tcPr>
          <w:p>
            <w:pPr>
              <w:spacing w:after="0" w:line="20" w:lineRule="exact"/>
              <w:rPr>
                <w:sz w:val="1"/>
                <w:szCs w:val="1"/>
                <w:color w:val="auto"/>
              </w:rPr>
            </w:pPr>
          </w:p>
        </w:tc>
        <w:tc>
          <w:tcPr>
            <w:tcW w:w="140" w:type="dxa"/>
            <w:vAlign w:val="bottom"/>
            <w:tcBorders>
              <w:left w:val="single" w:sz="8" w:color="0000FF"/>
            </w:tcBorders>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21"/>
          </w:tcPr>
          <w:p>
            <w:pPr>
              <w:spacing w:after="0" w:line="107" w:lineRule="exact"/>
              <w:rPr>
                <w:rFonts w:ascii="Times New Roman" w:cs="Times New Roman" w:eastAsia="Times New Roman" w:hAnsi="Times New Roman"/>
                <w:sz w:val="12"/>
                <w:szCs w:val="12"/>
                <w:color w:val="0000FF"/>
              </w:rPr>
            </w:pPr>
            <w:hyperlink r:id="rId450">
              <w:r>
                <w:rPr>
                  <w:rFonts w:ascii="Times New Roman" w:cs="Times New Roman" w:eastAsia="Times New Roman" w:hAnsi="Times New Roman"/>
                  <w:sz w:val="12"/>
                  <w:szCs w:val="12"/>
                  <w:color w:val="0000FF"/>
                </w:rPr>
                <w:t>Global Markets Inc., Goldman Sachs &amp; Co. LLC,</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450">
              <w:r>
                <w:rPr>
                  <w:rFonts w:ascii="Times New Roman" w:cs="Times New Roman" w:eastAsia="Times New Roman" w:hAnsi="Times New Roman"/>
                  <w:sz w:val="12"/>
                  <w:szCs w:val="12"/>
                  <w:color w:val="0000FF"/>
                </w:rPr>
                <w:t>J.P. Morgan Securities LLC, Mizuho Securities</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11"/>
            <w:shd w:val="clear" w:color="auto" w:fill="0000FF"/>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21"/>
          </w:tcPr>
          <w:p>
            <w:pPr>
              <w:spacing w:after="0" w:line="111" w:lineRule="exact"/>
              <w:rPr>
                <w:rFonts w:ascii="Times New Roman" w:cs="Times New Roman" w:eastAsia="Times New Roman" w:hAnsi="Times New Roman"/>
                <w:sz w:val="12"/>
                <w:szCs w:val="12"/>
                <w:u w:val="single" w:color="auto"/>
                <w:color w:val="0000FF"/>
              </w:rPr>
            </w:pPr>
            <w:hyperlink r:id="rId450">
              <w:r>
                <w:rPr>
                  <w:rFonts w:ascii="Times New Roman" w:cs="Times New Roman" w:eastAsia="Times New Roman" w:hAnsi="Times New Roman"/>
                  <w:sz w:val="12"/>
                  <w:szCs w:val="12"/>
                  <w:u w:val="single" w:color="auto"/>
                  <w:color w:val="0000FF"/>
                </w:rPr>
                <w:t>USA LLC, MUFG Securities Americas Inc. and</w:t>
              </w:r>
            </w:hyperlink>
          </w:p>
        </w:tc>
        <w:tc>
          <w:tcPr>
            <w:tcW w:w="0" w:type="dxa"/>
            <w:vAlign w:val="bottom"/>
          </w:tcPr>
          <w:p>
            <w:pPr>
              <w:spacing w:after="0"/>
              <w:rPr>
                <w:sz w:val="1"/>
                <w:szCs w:val="1"/>
                <w:color w:val="auto"/>
              </w:rPr>
            </w:pPr>
          </w:p>
        </w:tc>
      </w:tr>
    </w:tbl>
    <w:p>
      <w:pPr>
        <w:ind w:left="1600" w:right="20"/>
        <w:spacing w:after="0" w:line="207" w:lineRule="auto"/>
        <w:rPr>
          <w:rFonts w:ascii="Times New Roman" w:cs="Times New Roman" w:eastAsia="Times New Roman" w:hAnsi="Times New Roman"/>
          <w:sz w:val="13"/>
          <w:szCs w:val="13"/>
          <w:u w:val="single" w:color="auto"/>
          <w:color w:val="0000FF"/>
        </w:rPr>
      </w:pPr>
      <w:hyperlink r:id="rId450">
        <w:r>
          <w:rPr>
            <w:rFonts w:ascii="Times New Roman" w:cs="Times New Roman" w:eastAsia="Times New Roman" w:hAnsi="Times New Roman"/>
            <w:sz w:val="13"/>
            <w:szCs w:val="13"/>
            <w:u w:val="single" w:color="auto"/>
            <w:color w:val="0000FF"/>
          </w:rPr>
          <w:t>RBC Capital Markets, LLC, as managers, Bank of</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America, N.A., Barclays Bank PLC, Citibank,</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N.A., Goldman Sachs &amp; Co. LLC, JPMorgan</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Chase Bank, National Association, Mizuho</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Markets Americas LLC, MUFG Securities EMEA</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plc and Royal Bank of Canada, as forward</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purchasers, and BofA Securities, Inc., Barclays</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Capital Inc., Citigroup Global Markets Inc.,</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Goldman Sachs &amp; Co. LLC, J.P. Morgan</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Securities LLC, Mizuho Securities USA LLC,</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MUFG Securities Americas Inc. and RBC Capital</w:t>
        </w:r>
      </w:hyperlink>
      <w:r>
        <w:rPr>
          <w:rFonts w:ascii="Times New Roman" w:cs="Times New Roman" w:eastAsia="Times New Roman" w:hAnsi="Times New Roman"/>
          <w:sz w:val="13"/>
          <w:szCs w:val="13"/>
          <w:u w:val="single" w:color="auto"/>
          <w:color w:val="0000FF"/>
        </w:rPr>
        <w:t xml:space="preserve"> </w:t>
      </w:r>
      <w:hyperlink r:id="rId450">
        <w:r>
          <w:rPr>
            <w:rFonts w:ascii="Times New Roman" w:cs="Times New Roman" w:eastAsia="Times New Roman" w:hAnsi="Times New Roman"/>
            <w:sz w:val="13"/>
            <w:szCs w:val="13"/>
            <w:u w:val="single" w:color="auto"/>
            <w:color w:val="0000FF"/>
          </w:rPr>
          <w:t>Markets, LLC, as forward sellers</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68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w w:val="98"/>
              </w:rPr>
              <w:t>CenterPoint Energy’s Form 8-K</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June 24, 2024</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November 20,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March 15, 2023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March 15, 2023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October 13, 2023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2"/>
                <w:szCs w:val="2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August 29, 2024</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July 1,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January 10, 2024</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32" w:lineRule="exact"/>
        <w:rPr>
          <w:rFonts w:ascii="Times New Roman" w:cs="Times New Roman" w:eastAsia="Times New Roman" w:hAnsi="Times New Roman"/>
          <w:sz w:val="13"/>
          <w:szCs w:val="13"/>
          <w:u w:val="single" w:color="auto"/>
          <w:color w:val="0000FF"/>
        </w:rPr>
      </w:pPr>
    </w:p>
    <w:p>
      <w:pPr>
        <w:sectPr>
          <w:pgSz w:w="11900" w:h="16838" w:orient="portrait"/>
          <w:cols w:equalWidth="0" w:num="2">
            <w:col w:w="4180" w:space="100"/>
            <w:col w:w="7000"/>
          </w:cols>
          <w:pgMar w:left="300" w:top="819" w:right="319" w:bottom="1440" w:gutter="0" w:footer="0" w:header="0"/>
        </w:sectPr>
      </w:pPr>
    </w:p>
    <w:p>
      <w:pPr>
        <w:spacing w:after="0" w:line="293" w:lineRule="exact"/>
        <w:rPr>
          <w:rFonts w:ascii="Times New Roman" w:cs="Times New Roman" w:eastAsia="Times New Roman" w:hAnsi="Times New Roman"/>
          <w:sz w:val="13"/>
          <w:szCs w:val="13"/>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4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7" w:name="page218"/>
    <w:bookmarkEnd w:id="217"/>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1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10(jj)</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640" w:type="dxa"/>
            <w:vAlign w:val="bottom"/>
            <w:gridSpan w:val="16"/>
          </w:tcPr>
          <w:p>
            <w:pPr>
              <w:spacing w:after="0" w:line="138" w:lineRule="exact"/>
              <w:rPr>
                <w:rFonts w:ascii="Times New Roman" w:cs="Times New Roman" w:eastAsia="Times New Roman" w:hAnsi="Times New Roman"/>
                <w:sz w:val="13"/>
                <w:szCs w:val="13"/>
                <w:color w:val="0000FF"/>
              </w:rPr>
            </w:pPr>
            <w:hyperlink r:id="rId452">
              <w:r>
                <w:rPr>
                  <w:rFonts w:ascii="Times New Roman" w:cs="Times New Roman" w:eastAsia="Times New Roman" w:hAnsi="Times New Roman"/>
                  <w:sz w:val="13"/>
                  <w:szCs w:val="13"/>
                  <w:color w:val="0000FF"/>
                </w:rPr>
                <w:t>Confirmation of Forward Sale Transaction,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52">
              <w:r>
                <w:rPr>
                  <w:rFonts w:ascii="Times New Roman" w:cs="Times New Roman" w:eastAsia="Times New Roman" w:hAnsi="Times New Roman"/>
                  <w:sz w:val="12"/>
                  <w:szCs w:val="12"/>
                  <w:color w:val="0000FF"/>
                </w:rPr>
                <w:t>May 27, 2025, between CenterPoint Energy,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452">
              <w:r>
                <w:rPr>
                  <w:rFonts w:ascii="Times New Roman" w:cs="Times New Roman" w:eastAsia="Times New Roman" w:hAnsi="Times New Roman"/>
                  <w:sz w:val="12"/>
                  <w:szCs w:val="12"/>
                  <w:color w:val="0000FF"/>
                </w:rPr>
                <w:t>and Bank of America, N.A., in its capacity as a</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452">
              <w:r>
                <w:rPr>
                  <w:rFonts w:ascii="Times New Roman" w:cs="Times New Roman" w:eastAsia="Times New Roman" w:hAnsi="Times New Roman"/>
                  <w:sz w:val="12"/>
                  <w:szCs w:val="12"/>
                  <w:color w:val="0000FF"/>
                </w:rPr>
                <w:t>forward purchaser</w:t>
              </w:r>
            </w:hyperlink>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10(kk)</w:t>
            </w:r>
          </w:p>
        </w:tc>
        <w:tc>
          <w:tcPr>
            <w:tcW w:w="296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53">
              <w:r>
                <w:rPr>
                  <w:rFonts w:ascii="Times New Roman" w:cs="Times New Roman" w:eastAsia="Times New Roman" w:hAnsi="Times New Roman"/>
                  <w:sz w:val="13"/>
                  <w:szCs w:val="13"/>
                  <w:color w:val="0000FF"/>
                </w:rPr>
                <w:t>Confirmation of Forward Sale Transaction,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53">
              <w:r>
                <w:rPr>
                  <w:rFonts w:ascii="Times New Roman" w:cs="Times New Roman" w:eastAsia="Times New Roman" w:hAnsi="Times New Roman"/>
                  <w:sz w:val="12"/>
                  <w:szCs w:val="12"/>
                  <w:color w:val="0000FF"/>
                </w:rPr>
                <w:t>May 27, 2025, between CenterPoint Energy,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453">
              <w:r>
                <w:rPr>
                  <w:rFonts w:ascii="Times New Roman" w:cs="Times New Roman" w:eastAsia="Times New Roman" w:hAnsi="Times New Roman"/>
                  <w:sz w:val="12"/>
                  <w:szCs w:val="12"/>
                  <w:color w:val="0000FF"/>
                </w:rPr>
                <w:t>and Mizuho Markets Americas LLC (with</w:t>
              </w:r>
            </w:hyperlink>
          </w:p>
        </w:tc>
        <w:tc>
          <w:tcPr>
            <w:tcW w:w="40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gridSpan w:val="16"/>
          </w:tcPr>
          <w:p>
            <w:pPr>
              <w:spacing w:after="0" w:line="107" w:lineRule="exact"/>
              <w:rPr>
                <w:rFonts w:ascii="Times New Roman" w:cs="Times New Roman" w:eastAsia="Times New Roman" w:hAnsi="Times New Roman"/>
                <w:sz w:val="12"/>
                <w:szCs w:val="12"/>
                <w:color w:val="0000FF"/>
              </w:rPr>
            </w:pPr>
            <w:hyperlink r:id="rId453">
              <w:r>
                <w:rPr>
                  <w:rFonts w:ascii="Times New Roman" w:cs="Times New Roman" w:eastAsia="Times New Roman" w:hAnsi="Times New Roman"/>
                  <w:sz w:val="12"/>
                  <w:szCs w:val="12"/>
                  <w:color w:val="0000FF"/>
                </w:rPr>
                <w:t>Mizuho Securities USA LLC acting as agent), in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453">
              <w:r>
                <w:rPr>
                  <w:rFonts w:ascii="Times New Roman" w:cs="Times New Roman" w:eastAsia="Times New Roman" w:hAnsi="Times New Roman"/>
                  <w:sz w:val="12"/>
                  <w:szCs w:val="12"/>
                  <w:color w:val="0000FF"/>
                </w:rPr>
                <w:t>its capacity as a forward purchaser</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10(ll)</w:t>
            </w:r>
          </w:p>
        </w:tc>
        <w:tc>
          <w:tcPr>
            <w:tcW w:w="296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54">
              <w:r>
                <w:rPr>
                  <w:rFonts w:ascii="Times New Roman" w:cs="Times New Roman" w:eastAsia="Times New Roman" w:hAnsi="Times New Roman"/>
                  <w:sz w:val="13"/>
                  <w:szCs w:val="13"/>
                  <w:color w:val="0000FF"/>
                </w:rPr>
                <w:t>Confirmation of Forward Sale Transaction,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54">
              <w:r>
                <w:rPr>
                  <w:rFonts w:ascii="Times New Roman" w:cs="Times New Roman" w:eastAsia="Times New Roman" w:hAnsi="Times New Roman"/>
                  <w:sz w:val="12"/>
                  <w:szCs w:val="12"/>
                  <w:color w:val="0000FF"/>
                </w:rPr>
                <w:t>May 27, 2025, between CenterPoint Energy,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454">
              <w:r>
                <w:rPr>
                  <w:rFonts w:ascii="Times New Roman" w:cs="Times New Roman" w:eastAsia="Times New Roman" w:hAnsi="Times New Roman"/>
                  <w:sz w:val="12"/>
                  <w:szCs w:val="12"/>
                  <w:color w:val="0000FF"/>
                </w:rPr>
                <w:t>and JPMorgan Chase Bank, National Association,</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54">
              <w:r>
                <w:rPr>
                  <w:rFonts w:ascii="Times New Roman" w:cs="Times New Roman" w:eastAsia="Times New Roman" w:hAnsi="Times New Roman"/>
                  <w:sz w:val="12"/>
                  <w:szCs w:val="12"/>
                  <w:color w:val="0000FF"/>
                </w:rPr>
                <w:t>in its capacity as a forward purchaser</w:t>
              </w:r>
            </w:hyperlink>
          </w:p>
        </w:tc>
        <w:tc>
          <w:tcPr>
            <w:tcW w:w="700" w:type="dxa"/>
            <w:vAlign w:val="bottom"/>
            <w:gridSpan w:val="1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10(mm)</w:t>
            </w:r>
          </w:p>
        </w:tc>
        <w:tc>
          <w:tcPr>
            <w:tcW w:w="296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55">
              <w:r>
                <w:rPr>
                  <w:rFonts w:ascii="Times New Roman" w:cs="Times New Roman" w:eastAsia="Times New Roman" w:hAnsi="Times New Roman"/>
                  <w:sz w:val="13"/>
                  <w:szCs w:val="13"/>
                  <w:color w:val="0000FF"/>
                </w:rPr>
                <w:t>Confirmation of Forward Sale Transaction,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55">
              <w:r>
                <w:rPr>
                  <w:rFonts w:ascii="Times New Roman" w:cs="Times New Roman" w:eastAsia="Times New Roman" w:hAnsi="Times New Roman"/>
                  <w:sz w:val="12"/>
                  <w:szCs w:val="12"/>
                  <w:color w:val="0000FF"/>
                </w:rPr>
                <w:t>May 28, 2025, between CenterPoint Energy, Inc.</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55">
              <w:r>
                <w:rPr>
                  <w:rFonts w:ascii="Times New Roman" w:cs="Times New Roman" w:eastAsia="Times New Roman" w:hAnsi="Times New Roman"/>
                  <w:sz w:val="12"/>
                  <w:szCs w:val="12"/>
                  <w:color w:val="0000FF"/>
                </w:rPr>
                <w:t>and Bank of America, N.A., in its capacity as a</w:t>
              </w:r>
            </w:hyperlink>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455">
              <w:r>
                <w:rPr>
                  <w:rFonts w:ascii="Times New Roman" w:cs="Times New Roman" w:eastAsia="Times New Roman" w:hAnsi="Times New Roman"/>
                  <w:sz w:val="12"/>
                  <w:szCs w:val="12"/>
                  <w:color w:val="0000FF"/>
                </w:rPr>
                <w:t>forward purchaser</w:t>
              </w:r>
            </w:hyperlink>
          </w:p>
        </w:tc>
        <w:tc>
          <w:tcPr>
            <w:tcW w:w="140" w:type="dxa"/>
            <w:vAlign w:val="bottom"/>
            <w:gridSpan w:val="4"/>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10(nn)</w:t>
            </w:r>
          </w:p>
        </w:tc>
        <w:tc>
          <w:tcPr>
            <w:tcW w:w="296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56">
              <w:r>
                <w:rPr>
                  <w:rFonts w:ascii="Times New Roman" w:cs="Times New Roman" w:eastAsia="Times New Roman" w:hAnsi="Times New Roman"/>
                  <w:sz w:val="13"/>
                  <w:szCs w:val="13"/>
                  <w:color w:val="0000FF"/>
                </w:rPr>
                <w:t>Confirmation of Forward Sale Transaction,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56">
              <w:r>
                <w:rPr>
                  <w:rFonts w:ascii="Times New Roman" w:cs="Times New Roman" w:eastAsia="Times New Roman" w:hAnsi="Times New Roman"/>
                  <w:sz w:val="12"/>
                  <w:szCs w:val="12"/>
                  <w:color w:val="0000FF"/>
                </w:rPr>
                <w:t>May 28, 2025, between CenterPoint Energy, Inc.</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456">
              <w:r>
                <w:rPr>
                  <w:rFonts w:ascii="Times New Roman" w:cs="Times New Roman" w:eastAsia="Times New Roman" w:hAnsi="Times New Roman"/>
                  <w:sz w:val="12"/>
                  <w:szCs w:val="12"/>
                  <w:color w:val="0000FF"/>
                </w:rPr>
                <w:t>and Mizuho Markets Americas LLC (with</w:t>
              </w:r>
            </w:hyperlink>
          </w:p>
        </w:tc>
        <w:tc>
          <w:tcPr>
            <w:tcW w:w="36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gridSpan w:val="16"/>
          </w:tcPr>
          <w:p>
            <w:pPr>
              <w:spacing w:after="0" w:line="107" w:lineRule="exact"/>
              <w:rPr>
                <w:rFonts w:ascii="Times New Roman" w:cs="Times New Roman" w:eastAsia="Times New Roman" w:hAnsi="Times New Roman"/>
                <w:sz w:val="12"/>
                <w:szCs w:val="12"/>
                <w:color w:val="0000FF"/>
              </w:rPr>
            </w:pPr>
            <w:hyperlink r:id="rId456">
              <w:r>
                <w:rPr>
                  <w:rFonts w:ascii="Times New Roman" w:cs="Times New Roman" w:eastAsia="Times New Roman" w:hAnsi="Times New Roman"/>
                  <w:sz w:val="12"/>
                  <w:szCs w:val="12"/>
                  <w:color w:val="0000FF"/>
                </w:rPr>
                <w:t>Mizuho Securities USA LLC acting as agent), in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456">
              <w:r>
                <w:rPr>
                  <w:rFonts w:ascii="Times New Roman" w:cs="Times New Roman" w:eastAsia="Times New Roman" w:hAnsi="Times New Roman"/>
                  <w:sz w:val="12"/>
                  <w:szCs w:val="12"/>
                  <w:color w:val="0000FF"/>
                </w:rPr>
                <w:t>its capacity as a forward purchaser</w:t>
              </w:r>
            </w:hyperlink>
          </w:p>
        </w:tc>
        <w:tc>
          <w:tcPr>
            <w:tcW w:w="60" w:type="dxa"/>
            <w:vAlign w:val="bottom"/>
            <w:gridSpan w:val="3"/>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center"/>
              <w:spacing w:after="0" w:line="150" w:lineRule="exact"/>
              <w:rPr>
                <w:sz w:val="20"/>
                <w:szCs w:val="20"/>
                <w:color w:val="auto"/>
              </w:rPr>
            </w:pPr>
            <w:r>
              <w:rPr>
                <w:rFonts w:ascii="Times New Roman" w:cs="Times New Roman" w:eastAsia="Times New Roman" w:hAnsi="Times New Roman"/>
                <w:sz w:val="14"/>
                <w:szCs w:val="14"/>
                <w:color w:val="auto"/>
              </w:rPr>
              <w:t>10(oo)</w:t>
            </w:r>
          </w:p>
        </w:tc>
        <w:tc>
          <w:tcPr>
            <w:tcW w:w="320" w:type="dxa"/>
            <w:vAlign w:val="bottom"/>
            <w:gridSpan w:val="2"/>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vMerge w:val="continue"/>
          </w:tcPr>
          <w:p>
            <w:pPr>
              <w:spacing w:after="0"/>
              <w:rPr>
                <w:sz w:val="13"/>
                <w:szCs w:val="13"/>
                <w:color w:val="auto"/>
              </w:rPr>
            </w:pPr>
          </w:p>
        </w:tc>
        <w:tc>
          <w:tcPr>
            <w:tcW w:w="2960" w:type="dxa"/>
            <w:vAlign w:val="bottom"/>
            <w:gridSpan w:val="18"/>
          </w:tcPr>
          <w:p>
            <w:pPr>
              <w:ind w:left="20"/>
              <w:spacing w:after="0" w:line="139"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57">
              <w:r>
                <w:rPr>
                  <w:rFonts w:ascii="Times New Roman" w:cs="Times New Roman" w:eastAsia="Times New Roman" w:hAnsi="Times New Roman"/>
                  <w:sz w:val="13"/>
                  <w:szCs w:val="13"/>
                  <w:color w:val="0000FF"/>
                </w:rPr>
                <w:t>Confirmation of Forward Sale Transaction,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57">
              <w:r>
                <w:rPr>
                  <w:rFonts w:ascii="Times New Roman" w:cs="Times New Roman" w:eastAsia="Times New Roman" w:hAnsi="Times New Roman"/>
                  <w:sz w:val="12"/>
                  <w:szCs w:val="12"/>
                  <w:color w:val="0000FF"/>
                </w:rPr>
                <w:t>May 28, 2025, between CenterPoint Energy, Inc.</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457">
              <w:r>
                <w:rPr>
                  <w:rFonts w:ascii="Times New Roman" w:cs="Times New Roman" w:eastAsia="Times New Roman" w:hAnsi="Times New Roman"/>
                  <w:sz w:val="12"/>
                  <w:szCs w:val="12"/>
                  <w:color w:val="0000FF"/>
                </w:rPr>
                <w:t>and JPMorgan Chase Bank, National Association,</w:t>
              </w:r>
            </w:hyperlink>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457">
              <w:r>
                <w:rPr>
                  <w:rFonts w:ascii="Times New Roman" w:cs="Times New Roman" w:eastAsia="Times New Roman" w:hAnsi="Times New Roman"/>
                  <w:sz w:val="12"/>
                  <w:szCs w:val="12"/>
                  <w:color w:val="0000FF"/>
                </w:rPr>
                <w:t>in its capacity as a forward purchaser</w:t>
              </w:r>
            </w:hyperlink>
          </w:p>
        </w:tc>
        <w:tc>
          <w:tcPr>
            <w:tcW w:w="72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*10(pp)</w:t>
            </w:r>
          </w:p>
        </w:tc>
        <w:tc>
          <w:tcPr>
            <w:tcW w:w="296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58">
              <w:r>
                <w:rPr>
                  <w:rFonts w:ascii="Times New Roman" w:cs="Times New Roman" w:eastAsia="Times New Roman" w:hAnsi="Times New Roman"/>
                  <w:sz w:val="13"/>
                  <w:szCs w:val="13"/>
                  <w:color w:val="0000FF"/>
                </w:rPr>
                <w:t>Jesus Soto, Jr. Offer Letter</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300" w:hanging="717"/>
        <w:spacing w:after="0"/>
        <w:tabs>
          <w:tab w:leader="none" w:pos="130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59">
        <w:r>
          <w:rPr>
            <w:rFonts w:ascii="Times New Roman" w:cs="Times New Roman" w:eastAsia="Times New Roman" w:hAnsi="Times New Roman"/>
            <w:sz w:val="13"/>
            <w:szCs w:val="13"/>
            <w:u w:val="single" w:color="auto"/>
            <w:color w:val="0000FF"/>
          </w:rPr>
          <w:t>Insider Trading Policy</w:t>
        </w:r>
      </w:hyperlink>
    </w:p>
    <w:p>
      <w:pPr>
        <w:spacing w:after="0" w:line="275" w:lineRule="exact"/>
        <w:rPr>
          <w:sz w:val="20"/>
          <w:szCs w:val="20"/>
          <w:color w:val="auto"/>
        </w:rPr>
      </w:pPr>
    </w:p>
    <w:p>
      <w:pPr>
        <w:ind w:left="500"/>
        <w:spacing w:after="0"/>
        <w:tabs>
          <w:tab w:leader="none" w:pos="1280" w:val="left"/>
          <w:tab w:leader="none" w:pos="1580" w:val="left"/>
        </w:tabs>
        <w:rPr>
          <w:sz w:val="20"/>
          <w:szCs w:val="20"/>
          <w:color w:val="auto"/>
        </w:rPr>
      </w:pPr>
      <w:r>
        <w:rPr>
          <w:rFonts w:ascii="Times New Roman" w:cs="Times New Roman" w:eastAsia="Times New Roman" w:hAnsi="Times New Roman"/>
          <w:sz w:val="13"/>
          <w:szCs w:val="13"/>
          <w:color w:val="auto"/>
        </w:rPr>
        <w:t>†21.1</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u w:val="single" w:color="auto"/>
          <w:color w:val="0000FF"/>
        </w:rPr>
        <w:t>Subsidiaries of CenterPoint Energy</w:t>
      </w:r>
    </w:p>
    <w:p>
      <w:pPr>
        <w:spacing w:after="0" w:line="20" w:lineRule="exact"/>
        <w:rPr>
          <w:sz w:val="20"/>
          <w:szCs w:val="20"/>
          <w:color w:val="auto"/>
        </w:rPr>
      </w:pPr>
    </w:p>
    <w:p>
      <w:pPr>
        <w:ind w:left="500"/>
        <w:spacing w:after="0"/>
        <w:tabs>
          <w:tab w:leader="none" w:pos="1280" w:val="left"/>
          <w:tab w:leader="none" w:pos="1580" w:val="left"/>
        </w:tabs>
        <w:rPr>
          <w:sz w:val="20"/>
          <w:szCs w:val="20"/>
          <w:color w:val="auto"/>
        </w:rPr>
      </w:pPr>
      <w:r>
        <w:rPr>
          <w:rFonts w:ascii="Times New Roman" w:cs="Times New Roman" w:eastAsia="Times New Roman" w:hAnsi="Times New Roman"/>
          <w:sz w:val="13"/>
          <w:szCs w:val="13"/>
          <w:color w:val="auto"/>
        </w:rPr>
        <w:t>†21.2</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u w:val="single" w:color="auto"/>
          <w:color w:val="0000FF"/>
        </w:rPr>
        <w:t>Subsidiaries of CERC Corp.</w:t>
      </w:r>
    </w:p>
    <w:p>
      <w:pPr>
        <w:spacing w:after="0" w:line="20" w:lineRule="exact"/>
        <w:rPr>
          <w:sz w:val="20"/>
          <w:szCs w:val="20"/>
          <w:color w:val="auto"/>
        </w:rPr>
      </w:pPr>
    </w:p>
    <w:p>
      <w:pPr>
        <w:ind w:left="460"/>
        <w:spacing w:after="0"/>
        <w:tabs>
          <w:tab w:leader="none" w:pos="1280" w:val="left"/>
          <w:tab w:leader="none" w:pos="1580" w:val="left"/>
        </w:tabs>
        <w:rPr>
          <w:sz w:val="20"/>
          <w:szCs w:val="20"/>
          <w:color w:val="auto"/>
        </w:rPr>
      </w:pPr>
      <w:r>
        <w:rPr>
          <w:rFonts w:ascii="Times New Roman" w:cs="Times New Roman" w:eastAsia="Times New Roman" w:hAnsi="Times New Roman"/>
          <w:sz w:val="13"/>
          <w:szCs w:val="13"/>
          <w:color w:val="auto"/>
        </w:rPr>
        <w:t>†23.1.1</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u w:val="single" w:color="auto"/>
          <w:color w:val="0000FF"/>
        </w:rPr>
        <w:t>Consent of Deloitte &amp; Touche LLP</w:t>
      </w:r>
    </w:p>
    <w:p>
      <w:pPr>
        <w:spacing w:after="0" w:line="20" w:lineRule="exact"/>
        <w:rPr>
          <w:sz w:val="20"/>
          <w:szCs w:val="20"/>
          <w:color w:val="auto"/>
        </w:rPr>
      </w:pPr>
    </w:p>
    <w:p>
      <w:pPr>
        <w:ind w:left="460"/>
        <w:spacing w:after="0"/>
        <w:tabs>
          <w:tab w:leader="none" w:pos="1280" w:val="left"/>
          <w:tab w:leader="none" w:pos="1580" w:val="left"/>
        </w:tabs>
        <w:rPr>
          <w:sz w:val="20"/>
          <w:szCs w:val="20"/>
          <w:color w:val="auto"/>
        </w:rPr>
      </w:pPr>
      <w:r>
        <w:rPr>
          <w:rFonts w:ascii="Times New Roman" w:cs="Times New Roman" w:eastAsia="Times New Roman" w:hAnsi="Times New Roman"/>
          <w:sz w:val="13"/>
          <w:szCs w:val="13"/>
          <w:color w:val="auto"/>
        </w:rPr>
        <w:t>†23.1.2</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u w:val="single" w:color="auto"/>
          <w:color w:val="0000FF"/>
        </w:rPr>
        <w:t>Consent of Deloitte &amp; Touche LLP</w:t>
      </w:r>
    </w:p>
    <w:p>
      <w:pPr>
        <w:spacing w:after="0" w:line="20" w:lineRule="exact"/>
        <w:rPr>
          <w:sz w:val="20"/>
          <w:szCs w:val="20"/>
          <w:color w:val="auto"/>
        </w:rPr>
      </w:pPr>
    </w:p>
    <w:p>
      <w:pPr>
        <w:ind w:left="460"/>
        <w:spacing w:after="0"/>
        <w:tabs>
          <w:tab w:leader="none" w:pos="1280" w:val="left"/>
          <w:tab w:leader="none" w:pos="1580" w:val="left"/>
        </w:tabs>
        <w:rPr>
          <w:sz w:val="20"/>
          <w:szCs w:val="20"/>
          <w:color w:val="auto"/>
        </w:rPr>
      </w:pPr>
      <w:r>
        <w:rPr>
          <w:rFonts w:ascii="Times New Roman" w:cs="Times New Roman" w:eastAsia="Times New Roman" w:hAnsi="Times New Roman"/>
          <w:sz w:val="13"/>
          <w:szCs w:val="13"/>
          <w:color w:val="auto"/>
        </w:rPr>
        <w:t>†23.1.3</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u w:val="single" w:color="auto"/>
          <w:color w:val="0000FF"/>
        </w:rPr>
        <w:t>Consent of Deloitte &amp; Touche LLP</w:t>
      </w:r>
    </w:p>
    <w:p>
      <w:pPr>
        <w:spacing w:after="0" w:line="20" w:lineRule="exact"/>
        <w:rPr>
          <w:sz w:val="20"/>
          <w:szCs w:val="20"/>
          <w:color w:val="auto"/>
        </w:rPr>
      </w:pPr>
    </w:p>
    <w:p>
      <w:pPr>
        <w:ind w:left="1300" w:right="20" w:hanging="1143"/>
        <w:spacing w:after="0" w:line="235" w:lineRule="auto"/>
        <w:tabs>
          <w:tab w:leader="none" w:pos="1280" w:val="left"/>
        </w:tabs>
        <w:rPr>
          <w:sz w:val="20"/>
          <w:szCs w:val="20"/>
          <w:color w:val="auto"/>
        </w:rPr>
      </w:pPr>
      <w:r>
        <w:rPr>
          <w:rFonts w:ascii="Times New Roman" w:cs="Times New Roman" w:eastAsia="Times New Roman" w:hAnsi="Times New Roman"/>
          <w:sz w:val="13"/>
          <w:szCs w:val="13"/>
          <w:color w:val="auto"/>
        </w:rPr>
        <w:t>†31.1.1</w:t>
      </w:r>
      <w:r>
        <w:rPr>
          <w:sz w:val="20"/>
          <w:szCs w:val="20"/>
          <w:color w:val="auto"/>
        </w:rPr>
        <w:tab/>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Rule 13a-14(a)/15d-14(a) Certification of Jason P.</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Wells</w:t>
      </w:r>
    </w:p>
    <w:p>
      <w:pPr>
        <w:spacing w:after="0" w:line="4" w:lineRule="exact"/>
        <w:rPr>
          <w:sz w:val="20"/>
          <w:szCs w:val="20"/>
          <w:color w:val="auto"/>
        </w:rPr>
      </w:pPr>
    </w:p>
    <w:p>
      <w:pPr>
        <w:ind w:left="1300" w:right="160" w:hanging="1143"/>
        <w:spacing w:after="0" w:line="235" w:lineRule="auto"/>
        <w:tabs>
          <w:tab w:leader="none" w:pos="1280" w:val="left"/>
        </w:tabs>
        <w:rPr>
          <w:sz w:val="20"/>
          <w:szCs w:val="20"/>
          <w:color w:val="auto"/>
        </w:rPr>
      </w:pPr>
      <w:r>
        <w:rPr>
          <w:rFonts w:ascii="Times New Roman" w:cs="Times New Roman" w:eastAsia="Times New Roman" w:hAnsi="Times New Roman"/>
          <w:sz w:val="13"/>
          <w:szCs w:val="13"/>
          <w:color w:val="auto"/>
        </w:rPr>
        <w:t>†31.1.2</w:t>
      </w:r>
      <w:r>
        <w:rPr>
          <w:sz w:val="20"/>
          <w:szCs w:val="20"/>
          <w:color w:val="auto"/>
        </w:rPr>
        <w:tab/>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Rule 13a-14(a)/15d-14(a) Certification of Jesus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Soto, Jr.</w:t>
      </w:r>
    </w:p>
    <w:p>
      <w:pPr>
        <w:spacing w:after="0" w:line="4" w:lineRule="exact"/>
        <w:rPr>
          <w:sz w:val="20"/>
          <w:szCs w:val="20"/>
          <w:color w:val="auto"/>
        </w:rPr>
      </w:pPr>
    </w:p>
    <w:p>
      <w:pPr>
        <w:ind w:left="1300" w:right="160" w:hanging="1143"/>
        <w:spacing w:after="0" w:line="235" w:lineRule="auto"/>
        <w:tabs>
          <w:tab w:leader="none" w:pos="1280" w:val="left"/>
        </w:tabs>
        <w:rPr>
          <w:sz w:val="20"/>
          <w:szCs w:val="20"/>
          <w:color w:val="auto"/>
        </w:rPr>
      </w:pPr>
      <w:r>
        <w:rPr>
          <w:rFonts w:ascii="Times New Roman" w:cs="Times New Roman" w:eastAsia="Times New Roman" w:hAnsi="Times New Roman"/>
          <w:sz w:val="13"/>
          <w:szCs w:val="13"/>
          <w:color w:val="auto"/>
        </w:rPr>
        <w:t>†31.1.3</w:t>
      </w:r>
      <w:r>
        <w:rPr>
          <w:sz w:val="20"/>
          <w:szCs w:val="20"/>
          <w:color w:val="auto"/>
        </w:rPr>
        <w:tab/>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Rule 13a-14(a)/15d-14(a) Certification of Jesus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Soto, Jr.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680" w:type="dxa"/>
            <w:vAlign w:val="bottom"/>
            <w:tcBorders>
              <w:top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color w:val="auto"/>
              </w:rPr>
              <w:t>CenterPoint Energy’s Form</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May 28, 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May 28, 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May 28, 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May 29, 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May 29, 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 dated May 29, 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July 21, 2025</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7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CenterPoint Energy’s 10-K for</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w w:val="91"/>
              </w:rPr>
              <w:t>19</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0"/>
        <w:spacing w:after="0" w:line="204" w:lineRule="auto"/>
        <w:rPr>
          <w:sz w:val="20"/>
          <w:szCs w:val="20"/>
          <w:color w:val="auto"/>
        </w:rPr>
      </w:pPr>
      <w:r>
        <w:rPr>
          <w:rFonts w:ascii="Times New Roman" w:cs="Times New Roman" w:eastAsia="Times New Roman" w:hAnsi="Times New Roman"/>
          <w:sz w:val="13"/>
          <w:szCs w:val="13"/>
          <w:color w:val="auto"/>
        </w:rPr>
        <w:t>the year ended December 31,</w:t>
      </w:r>
    </w:p>
    <w:p>
      <w:pPr>
        <w:ind w:left="20"/>
        <w:spacing w:after="0"/>
        <w:rPr>
          <w:sz w:val="20"/>
          <w:szCs w:val="20"/>
          <w:color w:val="auto"/>
        </w:rPr>
      </w:pPr>
      <w:r>
        <w:rPr>
          <w:rFonts w:ascii="Times New Roman" w:cs="Times New Roman" w:eastAsia="Times New Roman" w:hAnsi="Times New Roman"/>
          <w:sz w:val="13"/>
          <w:szCs w:val="13"/>
          <w:color w:val="auto"/>
        </w:rPr>
        <w:t>2024</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X</w:t>
      </w:r>
    </w:p>
    <w:p>
      <w:pPr>
        <w:spacing w:after="0" w:line="1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color w:val="auto"/>
        </w:rPr>
        <w:t>X</w:t>
      </w:r>
    </w:p>
    <w:p>
      <w:pPr>
        <w:spacing w:after="0" w:line="14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3"/>
          <w:szCs w:val="13"/>
          <w:color w:val="auto"/>
        </w:rPr>
        <w:t>X</w:t>
      </w:r>
    </w:p>
    <w:p>
      <w:pPr>
        <w:spacing w:after="0" w:line="343" w:lineRule="exact"/>
        <w:rPr>
          <w:sz w:val="20"/>
          <w:szCs w:val="20"/>
          <w:color w:val="auto"/>
        </w:rPr>
      </w:pPr>
    </w:p>
    <w:p>
      <w:pPr>
        <w:sectPr>
          <w:pgSz w:w="11900" w:h="16838" w:orient="portrait"/>
          <w:cols w:equalWidth="0" w:num="2">
            <w:col w:w="4180" w:space="100"/>
            <w:col w:w="7000"/>
          </w:cols>
          <w:pgMar w:left="300" w:top="819" w:right="319" w:bottom="144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4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8" w:name="page219"/>
    <w:bookmarkEnd w:id="218"/>
    <w:tbl>
      <w:tblPr>
        <w:tblLayout w:type="fixed"/>
        <w:tblInd w:w="0" w:type="dxa"/>
        <w:tblCellMar>
          <w:top w:w="0" w:type="dxa"/>
          <w:left w:w="0" w:type="dxa"/>
          <w:bottom w:w="0" w:type="dxa"/>
          <w:right w:w="0" w:type="dxa"/>
        </w:tblCellMar>
      </w:tblP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gridSpan w:val="9"/>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100" w:type="dxa"/>
            <w:vAlign w:val="bottom"/>
            <w:gridSpan w:val="2"/>
            <w:vMerge w:val="continue"/>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20" w:type="dxa"/>
            <w:vAlign w:val="bottom"/>
            <w:gridSpan w:val="2"/>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gridSpan w:val="9"/>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60" w:type="dxa"/>
            <w:vAlign w:val="bottom"/>
            <w:gridSpan w:val="2"/>
            <w:vMerge w:val="continue"/>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28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w w:val="97"/>
              </w:rPr>
              <w:t>†31.2.1</w:t>
            </w:r>
          </w:p>
        </w:tc>
        <w:tc>
          <w:tcPr>
            <w:tcW w:w="3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gridSpan w:val="10"/>
          </w:tcPr>
          <w:p>
            <w:pPr>
              <w:spacing w:after="0" w:line="138" w:lineRule="exact"/>
              <w:rPr>
                <w:sz w:val="20"/>
                <w:szCs w:val="20"/>
                <w:color w:val="auto"/>
              </w:rPr>
            </w:pPr>
            <w:r>
              <w:rPr>
                <w:rFonts w:ascii="Times New Roman" w:cs="Times New Roman" w:eastAsia="Times New Roman" w:hAnsi="Times New Roman"/>
                <w:sz w:val="13"/>
                <w:szCs w:val="13"/>
                <w:color w:val="0000FF"/>
              </w:rPr>
              <w:t>Rule 13a-14(a)/15d-14(a) Certification of</w:t>
            </w:r>
          </w:p>
        </w:tc>
        <w:tc>
          <w:tcPr>
            <w:tcW w:w="10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Christopher A. Foster</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†31.2.2</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Rule 13a-14(a)/15d-14(a) Certification of</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Christopher A. Foster</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†31.2.3</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Rule 13a-14(a)/15d-14(a) Certification of</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Christopher A. Foster</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†32.1.1</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Jason P. Wells</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†32.1.2</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Jesus Soto, Jr.</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†32.1.3</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Jesus Soto, Jr.</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†32.2.1</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Christopher A.</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w w:val="99"/>
              </w:rPr>
              <w:t>Foster</w:t>
            </w:r>
          </w:p>
        </w:tc>
        <w:tc>
          <w:tcPr>
            <w:tcW w:w="1940" w:type="dxa"/>
            <w:vAlign w:val="bottom"/>
            <w:tcBorders>
              <w:top w:val="single" w:sz="8" w:color="0000FF"/>
            </w:tcBorders>
            <w:gridSpan w:val="6"/>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†32.2.2</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Christopher A.</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w w:val="99"/>
              </w:rPr>
              <w:t>Foster</w:t>
            </w:r>
          </w:p>
        </w:tc>
        <w:tc>
          <w:tcPr>
            <w:tcW w:w="1940" w:type="dxa"/>
            <w:vAlign w:val="bottom"/>
            <w:tcBorders>
              <w:top w:val="single" w:sz="8" w:color="0000FF"/>
            </w:tcBorders>
            <w:gridSpan w:val="6"/>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†32.2.3</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Christopher A.</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w w:val="99"/>
              </w:rPr>
              <w:t>Foster</w:t>
            </w:r>
          </w:p>
        </w:tc>
        <w:tc>
          <w:tcPr>
            <w:tcW w:w="1940" w:type="dxa"/>
            <w:vAlign w:val="bottom"/>
            <w:tcBorders>
              <w:top w:val="single" w:sz="8" w:color="0000FF"/>
            </w:tcBorders>
            <w:gridSpan w:val="6"/>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†97.1</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CenterPoint Energy’s Executive Officer Recovery</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8"/>
          </w:tcPr>
          <w:p>
            <w:pPr>
              <w:spacing w:after="0" w:line="107" w:lineRule="exact"/>
              <w:rPr>
                <w:sz w:val="20"/>
                <w:szCs w:val="20"/>
                <w:color w:val="auto"/>
              </w:rPr>
            </w:pPr>
            <w:r>
              <w:rPr>
                <w:rFonts w:ascii="Times New Roman" w:cs="Times New Roman" w:eastAsia="Times New Roman" w:hAnsi="Times New Roman"/>
                <w:sz w:val="12"/>
                <w:szCs w:val="12"/>
                <w:color w:val="0000FF"/>
              </w:rPr>
              <w:t>Policy</w:t>
            </w: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†97.2</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Houston Electric’s Amended and Restated</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top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Executive Officer Recovery Policy</w:t>
            </w:r>
          </w:p>
        </w:tc>
        <w:tc>
          <w:tcPr>
            <w:tcW w:w="340" w:type="dxa"/>
            <w:vAlign w:val="bottom"/>
            <w:gridSpan w:val="3"/>
          </w:tcPr>
          <w:p>
            <w:pPr>
              <w:spacing w:after="0"/>
              <w:rPr>
                <w:sz w:val="9"/>
                <w:szCs w:val="9"/>
                <w:color w:val="auto"/>
              </w:rPr>
            </w:pP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†97.3</w:t>
            </w:r>
          </w:p>
        </w:tc>
        <w:tc>
          <w:tcPr>
            <w:tcW w:w="300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CERC’s Amended and Restated Executive Officer</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color w:val="0000FF"/>
              </w:rPr>
              <w:t>Recovery Policy</w:t>
            </w: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9"/>
              </w:rPr>
              <w:t>†101.INS</w:t>
            </w:r>
          </w:p>
        </w:tc>
        <w:tc>
          <w:tcPr>
            <w:tcW w:w="3000" w:type="dxa"/>
            <w:vAlign w:val="bottom"/>
            <w:gridSpan w:val="13"/>
          </w:tcPr>
          <w:p>
            <w:pPr>
              <w:ind w:left="20"/>
              <w:spacing w:after="0" w:line="139" w:lineRule="exact"/>
              <w:rPr>
                <w:sz w:val="20"/>
                <w:szCs w:val="20"/>
                <w:color w:val="auto"/>
              </w:rPr>
            </w:pPr>
            <w:r>
              <w:rPr>
                <w:rFonts w:ascii="Times New Roman" w:cs="Times New Roman" w:eastAsia="Times New Roman" w:hAnsi="Times New Roman"/>
                <w:sz w:val="13"/>
                <w:szCs w:val="13"/>
                <w:color w:val="auto"/>
              </w:rPr>
              <w:t>—   Inline XBRL Instance Document - the instance</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color w:val="auto"/>
              </w:rPr>
              <w:t>X</w:t>
            </w:r>
          </w:p>
        </w:tc>
        <w:tc>
          <w:tcPr>
            <w:tcW w:w="9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color w:val="auto"/>
              </w:rPr>
              <w:t>X</w:t>
            </w: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80" w:type="dxa"/>
            <w:vAlign w:val="bottom"/>
            <w:gridSpan w:val="11"/>
          </w:tcPr>
          <w:p>
            <w:pPr>
              <w:spacing w:after="0" w:line="128" w:lineRule="exact"/>
              <w:rPr>
                <w:sz w:val="20"/>
                <w:szCs w:val="20"/>
                <w:color w:val="auto"/>
              </w:rPr>
            </w:pPr>
            <w:r>
              <w:rPr>
                <w:rFonts w:ascii="Times New Roman" w:cs="Times New Roman" w:eastAsia="Times New Roman" w:hAnsi="Times New Roman"/>
                <w:sz w:val="13"/>
                <w:szCs w:val="13"/>
                <w:color w:val="auto"/>
              </w:rPr>
              <w:t>document does not appear in the Interactive Data</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80" w:type="dxa"/>
            <w:vAlign w:val="bottom"/>
            <w:gridSpan w:val="11"/>
          </w:tcPr>
          <w:p>
            <w:pPr>
              <w:spacing w:after="0" w:line="128" w:lineRule="exact"/>
              <w:rPr>
                <w:sz w:val="20"/>
                <w:szCs w:val="20"/>
                <w:color w:val="auto"/>
              </w:rPr>
            </w:pPr>
            <w:r>
              <w:rPr>
                <w:rFonts w:ascii="Times New Roman" w:cs="Times New Roman" w:eastAsia="Times New Roman" w:hAnsi="Times New Roman"/>
                <w:sz w:val="13"/>
                <w:szCs w:val="13"/>
                <w:color w:val="auto"/>
              </w:rPr>
              <w:t>File because its XBRL tags are embedded within</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the Inline XBRL document</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819" w:right="319" w:bottom="1440" w:gutter="0" w:footer="0" w:header="0"/>
        </w:sectPr>
      </w:pPr>
    </w:p>
    <w:tbl>
      <w:tblPr>
        <w:tblLayout w:type="fixed"/>
        <w:tblInd w:w="380" w:type="dxa"/>
        <w:tblCellMar>
          <w:top w:w="0" w:type="dxa"/>
          <w:left w:w="0" w:type="dxa"/>
          <w:bottom w:w="0" w:type="dxa"/>
          <w:right w:w="0" w:type="dxa"/>
        </w:tblCellMar>
      </w:tblPr>
      <w:tr>
        <w:trPr>
          <w:trHeight w:val="132"/>
        </w:trPr>
        <w:tc>
          <w:tcPr>
            <w:tcW w:w="740" w:type="dxa"/>
            <w:vAlign w:val="bottom"/>
          </w:tcPr>
          <w:p>
            <w:pPr>
              <w:jc w:val="center"/>
              <w:ind w:right="136"/>
              <w:spacing w:after="0" w:line="132" w:lineRule="exact"/>
              <w:rPr>
                <w:sz w:val="20"/>
                <w:szCs w:val="20"/>
                <w:color w:val="auto"/>
              </w:rPr>
            </w:pPr>
            <w:r>
              <w:rPr>
                <w:rFonts w:ascii="Times New Roman" w:cs="Times New Roman" w:eastAsia="Times New Roman" w:hAnsi="Times New Roman"/>
                <w:sz w:val="13"/>
                <w:szCs w:val="13"/>
                <w:color w:val="auto"/>
                <w:w w:val="98"/>
              </w:rPr>
              <w:t>†101.SCH</w:t>
            </w:r>
          </w:p>
        </w:tc>
        <w:tc>
          <w:tcPr>
            <w:tcW w:w="2920" w:type="dxa"/>
            <w:vAlign w:val="bottom"/>
            <w:gridSpan w:val="2"/>
          </w:tcPr>
          <w:p>
            <w:pPr>
              <w:ind w:left="180"/>
              <w:spacing w:after="0" w:line="132" w:lineRule="exact"/>
              <w:rPr>
                <w:sz w:val="20"/>
                <w:szCs w:val="20"/>
                <w:color w:val="auto"/>
              </w:rPr>
            </w:pPr>
            <w:r>
              <w:rPr>
                <w:rFonts w:ascii="Times New Roman" w:cs="Times New Roman" w:eastAsia="Times New Roman" w:hAnsi="Times New Roman"/>
                <w:sz w:val="13"/>
                <w:szCs w:val="13"/>
                <w:color w:val="auto"/>
              </w:rPr>
              <w:t>—   Inline XBRL Taxonomy Extension Schema</w:t>
            </w: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Document</w:t>
            </w:r>
          </w:p>
        </w:tc>
        <w:tc>
          <w:tcPr>
            <w:tcW w:w="0" w:type="dxa"/>
            <w:vAlign w:val="bottom"/>
          </w:tcPr>
          <w:p>
            <w:pPr>
              <w:spacing w:after="0"/>
              <w:rPr>
                <w:sz w:val="1"/>
                <w:szCs w:val="1"/>
                <w:color w:val="auto"/>
              </w:rPr>
            </w:pPr>
          </w:p>
        </w:tc>
      </w:tr>
      <w:tr>
        <w:trPr>
          <w:trHeight w:val="132"/>
        </w:trPr>
        <w:tc>
          <w:tcPr>
            <w:tcW w:w="740" w:type="dxa"/>
            <w:vAlign w:val="bottom"/>
          </w:tcPr>
          <w:p>
            <w:pPr>
              <w:jc w:val="center"/>
              <w:ind w:right="136"/>
              <w:spacing w:after="0" w:line="132" w:lineRule="exact"/>
              <w:rPr>
                <w:sz w:val="20"/>
                <w:szCs w:val="20"/>
                <w:color w:val="auto"/>
              </w:rPr>
            </w:pPr>
            <w:r>
              <w:rPr>
                <w:rFonts w:ascii="Times New Roman" w:cs="Times New Roman" w:eastAsia="Times New Roman" w:hAnsi="Times New Roman"/>
                <w:sz w:val="13"/>
                <w:szCs w:val="13"/>
                <w:color w:val="auto"/>
                <w:w w:val="97"/>
              </w:rPr>
              <w:t>†101.CAL</w:t>
            </w:r>
          </w:p>
        </w:tc>
        <w:tc>
          <w:tcPr>
            <w:tcW w:w="2920" w:type="dxa"/>
            <w:vAlign w:val="bottom"/>
            <w:gridSpan w:val="2"/>
          </w:tcPr>
          <w:p>
            <w:pPr>
              <w:ind w:left="180"/>
              <w:spacing w:after="0" w:line="132" w:lineRule="exact"/>
              <w:rPr>
                <w:sz w:val="20"/>
                <w:szCs w:val="20"/>
                <w:color w:val="auto"/>
              </w:rPr>
            </w:pPr>
            <w:r>
              <w:rPr>
                <w:rFonts w:ascii="Times New Roman" w:cs="Times New Roman" w:eastAsia="Times New Roman" w:hAnsi="Times New Roman"/>
                <w:sz w:val="13"/>
                <w:szCs w:val="13"/>
                <w:color w:val="auto"/>
              </w:rPr>
              <w:t>—   Inline XBRL Taxonomy Extension Calculation</w:t>
            </w: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Linkbase Document</w:t>
            </w:r>
          </w:p>
        </w:tc>
        <w:tc>
          <w:tcPr>
            <w:tcW w:w="0" w:type="dxa"/>
            <w:vAlign w:val="bottom"/>
          </w:tcPr>
          <w:p>
            <w:pPr>
              <w:spacing w:after="0"/>
              <w:rPr>
                <w:sz w:val="1"/>
                <w:szCs w:val="1"/>
                <w:color w:val="auto"/>
              </w:rPr>
            </w:pPr>
          </w:p>
        </w:tc>
      </w:tr>
      <w:tr>
        <w:trPr>
          <w:trHeight w:val="170"/>
        </w:trPr>
        <w:tc>
          <w:tcPr>
            <w:tcW w:w="74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rPr>
              <w:t>†101.DEF</w:t>
            </w:r>
          </w:p>
        </w:tc>
        <w:tc>
          <w:tcPr>
            <w:tcW w:w="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Inline XBRL Taxonomy Extension Definition</w:t>
            </w:r>
          </w:p>
        </w:tc>
        <w:tc>
          <w:tcPr>
            <w:tcW w:w="0" w:type="dxa"/>
            <w:vAlign w:val="bottom"/>
          </w:tcPr>
          <w:p>
            <w:pPr>
              <w:spacing w:after="0"/>
              <w:rPr>
                <w:sz w:val="1"/>
                <w:szCs w:val="1"/>
                <w:color w:val="auto"/>
              </w:rPr>
            </w:pPr>
          </w:p>
        </w:tc>
      </w:tr>
      <w:tr>
        <w:trPr>
          <w:trHeight w:val="47"/>
        </w:trPr>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Linkbase Document</w:t>
            </w:r>
          </w:p>
        </w:tc>
        <w:tc>
          <w:tcPr>
            <w:tcW w:w="0" w:type="dxa"/>
            <w:vAlign w:val="bottom"/>
          </w:tcPr>
          <w:p>
            <w:pPr>
              <w:spacing w:after="0"/>
              <w:rPr>
                <w:sz w:val="1"/>
                <w:szCs w:val="1"/>
                <w:color w:val="auto"/>
              </w:rPr>
            </w:pPr>
          </w:p>
        </w:tc>
      </w:tr>
      <w:tr>
        <w:trPr>
          <w:trHeight w:val="191"/>
        </w:trPr>
        <w:tc>
          <w:tcPr>
            <w:tcW w:w="74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7"/>
              </w:rPr>
              <w:t>†101.LAB</w:t>
            </w:r>
          </w:p>
        </w:tc>
        <w:tc>
          <w:tcPr>
            <w:tcW w:w="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Inline XBRL Taxonomy Extension Labels</w:t>
            </w:r>
          </w:p>
        </w:tc>
        <w:tc>
          <w:tcPr>
            <w:tcW w:w="0" w:type="dxa"/>
            <w:vAlign w:val="bottom"/>
          </w:tcPr>
          <w:p>
            <w:pPr>
              <w:spacing w:after="0"/>
              <w:rPr>
                <w:sz w:val="1"/>
                <w:szCs w:val="1"/>
                <w:color w:val="auto"/>
              </w:rPr>
            </w:pPr>
          </w:p>
        </w:tc>
      </w:tr>
      <w:tr>
        <w:trPr>
          <w:trHeight w:val="47"/>
        </w:trPr>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Linkbase Document</w:t>
            </w:r>
          </w:p>
        </w:tc>
        <w:tc>
          <w:tcPr>
            <w:tcW w:w="0" w:type="dxa"/>
            <w:vAlign w:val="bottom"/>
          </w:tcPr>
          <w:p>
            <w:pPr>
              <w:spacing w:after="0"/>
              <w:rPr>
                <w:sz w:val="1"/>
                <w:szCs w:val="1"/>
                <w:color w:val="auto"/>
              </w:rPr>
            </w:pPr>
          </w:p>
        </w:tc>
      </w:tr>
      <w:tr>
        <w:trPr>
          <w:trHeight w:val="191"/>
        </w:trPr>
        <w:tc>
          <w:tcPr>
            <w:tcW w:w="740" w:type="dxa"/>
            <w:vAlign w:val="bottom"/>
          </w:tcPr>
          <w:p>
            <w:pPr>
              <w:jc w:val="center"/>
              <w:ind w:right="156"/>
              <w:spacing w:after="0"/>
              <w:rPr>
                <w:sz w:val="20"/>
                <w:szCs w:val="20"/>
                <w:color w:val="auto"/>
              </w:rPr>
            </w:pPr>
            <w:r>
              <w:rPr>
                <w:rFonts w:ascii="Times New Roman" w:cs="Times New Roman" w:eastAsia="Times New Roman" w:hAnsi="Times New Roman"/>
                <w:sz w:val="13"/>
                <w:szCs w:val="13"/>
                <w:color w:val="auto"/>
                <w:w w:val="97"/>
              </w:rPr>
              <w:t>†101.PRE</w:t>
            </w:r>
          </w:p>
        </w:tc>
        <w:tc>
          <w:tcPr>
            <w:tcW w:w="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96"/>
              </w:rPr>
              <w:t>Inline XBRL Taxonomy Extension Presentation</w:t>
            </w:r>
          </w:p>
        </w:tc>
        <w:tc>
          <w:tcPr>
            <w:tcW w:w="0" w:type="dxa"/>
            <w:vAlign w:val="bottom"/>
          </w:tcPr>
          <w:p>
            <w:pPr>
              <w:spacing w:after="0"/>
              <w:rPr>
                <w:sz w:val="1"/>
                <w:szCs w:val="1"/>
                <w:color w:val="auto"/>
              </w:rPr>
            </w:pPr>
          </w:p>
        </w:tc>
      </w:tr>
      <w:tr>
        <w:trPr>
          <w:trHeight w:val="47"/>
        </w:trPr>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Linkbase Document</w:t>
            </w:r>
          </w:p>
        </w:tc>
        <w:tc>
          <w:tcPr>
            <w:tcW w:w="0" w:type="dxa"/>
            <w:vAlign w:val="bottom"/>
          </w:tcPr>
          <w:p>
            <w:pPr>
              <w:spacing w:after="0"/>
              <w:rPr>
                <w:sz w:val="1"/>
                <w:szCs w:val="1"/>
                <w:color w:val="auto"/>
              </w:rPr>
            </w:pPr>
          </w:p>
        </w:tc>
      </w:tr>
      <w:tr>
        <w:trPr>
          <w:trHeight w:val="191"/>
        </w:trPr>
        <w:tc>
          <w:tcPr>
            <w:tcW w:w="74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9"/>
              </w:rPr>
              <w:t>†104</w:t>
            </w:r>
          </w:p>
        </w:tc>
        <w:tc>
          <w:tcPr>
            <w:tcW w:w="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2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99"/>
              </w:rPr>
              <w:t>Cover Page Interactive Data File (formatted as</w:t>
            </w:r>
          </w:p>
        </w:tc>
        <w:tc>
          <w:tcPr>
            <w:tcW w:w="0" w:type="dxa"/>
            <w:vAlign w:val="bottom"/>
          </w:tcPr>
          <w:p>
            <w:pPr>
              <w:spacing w:after="0"/>
              <w:rPr>
                <w:sz w:val="1"/>
                <w:szCs w:val="1"/>
                <w:color w:val="auto"/>
              </w:rPr>
            </w:pPr>
          </w:p>
        </w:tc>
      </w:tr>
      <w:tr>
        <w:trPr>
          <w:trHeight w:val="61"/>
        </w:trPr>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600"/>
        <w:spacing w:after="0"/>
        <w:rPr>
          <w:sz w:val="20"/>
          <w:szCs w:val="20"/>
          <w:color w:val="auto"/>
        </w:rPr>
      </w:pPr>
      <w:r>
        <w:rPr>
          <w:rFonts w:ascii="Times New Roman" w:cs="Times New Roman" w:eastAsia="Times New Roman" w:hAnsi="Times New Roman"/>
          <w:sz w:val="13"/>
          <w:szCs w:val="13"/>
          <w:color w:val="auto"/>
        </w:rPr>
        <w:t>Inline XBRL and contained in Exhibit 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X</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X</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X</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403"/>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X</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403"/>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X</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r>
        <w:trPr>
          <w:trHeight w:val="403"/>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X</w:t>
            </w:r>
          </w:p>
        </w:tc>
        <w:tc>
          <w:tcPr>
            <w:tcW w:w="5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410" w:lineRule="exact"/>
        <w:rPr>
          <w:sz w:val="20"/>
          <w:szCs w:val="20"/>
          <w:color w:val="auto"/>
        </w:rPr>
      </w:pPr>
    </w:p>
    <w:p>
      <w:pPr>
        <w:sectPr>
          <w:pgSz w:w="11900" w:h="16838" w:orient="portrait"/>
          <w:cols w:equalWidth="0" w:num="2">
            <w:col w:w="8120" w:space="720"/>
            <w:col w:w="2440"/>
          </w:cols>
          <w:pgMar w:left="300" w:top="81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4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type w:val="continuous"/>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Registrants have duly caused this report to be signed on their behalf by the undersigned, thereunto duly authorized, in the City of Houston, the State of Texas, on the 19th day of February, 2026.</w:t>
      </w:r>
    </w:p>
    <w:p>
      <w:pPr>
        <w:spacing w:after="0" w:line="250"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color w:val="auto"/>
        </w:rPr>
        <w:t>(Registrant)</w:t>
      </w:r>
    </w:p>
    <w:p>
      <w:pPr>
        <w:spacing w:after="0" w:line="18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JASON P. WELLS</w:t>
      </w:r>
    </w:p>
    <w:p>
      <w:pPr>
        <w:spacing w:after="0" w:line="2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color w:val="auto"/>
        </w:rPr>
        <w:t>Jason P. Wells</w:t>
      </w:r>
    </w:p>
    <w:p>
      <w:pPr>
        <w:spacing w:after="0" w:line="19"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4"/>
          <w:szCs w:val="14"/>
          <w:i w:val="1"/>
          <w:iCs w:val="1"/>
          <w:color w:val="auto"/>
        </w:rPr>
        <w:t>Chair of the Board, President and Chief Executive Officer</w:t>
      </w:r>
    </w:p>
    <w:p>
      <w:pPr>
        <w:spacing w:after="0" w:line="260"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February 19, 2026.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0" w:type="dxa"/>
            <w:vAlign w:val="bottom"/>
            <w:gridSpan w:val="13"/>
          </w:tcPr>
          <w:p>
            <w:pPr>
              <w:jc w:val="center"/>
              <w:ind w:right="23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117"/>
        </w:trPr>
        <w:tc>
          <w:tcPr>
            <w:tcW w:w="1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300" w:type="dxa"/>
            <w:vAlign w:val="bottom"/>
            <w:tcBorders>
              <w:top w:val="single" w:sz="8" w:color="auto"/>
            </w:tcBorders>
            <w:gridSpan w:val="12"/>
          </w:tcPr>
          <w:p>
            <w:pPr>
              <w:jc w:val="center"/>
              <w:ind w:right="2280"/>
              <w:spacing w:after="0" w:line="117" w:lineRule="exact"/>
              <w:rPr>
                <w:sz w:val="20"/>
                <w:szCs w:val="20"/>
                <w:color w:val="auto"/>
              </w:rPr>
            </w:pPr>
            <w:r>
              <w:rPr>
                <w:rFonts w:ascii="Times New Roman" w:cs="Times New Roman" w:eastAsia="Times New Roman" w:hAnsi="Times New Roman"/>
                <w:sz w:val="11"/>
                <w:szCs w:val="11"/>
                <w:color w:val="auto"/>
              </w:rPr>
              <w:t>/s/ JASON P. WELLS</w:t>
            </w:r>
          </w:p>
        </w:tc>
        <w:tc>
          <w:tcPr>
            <w:tcW w:w="100" w:type="dxa"/>
            <w:vAlign w:val="bottom"/>
          </w:tcPr>
          <w:p>
            <w:pPr>
              <w:spacing w:after="0"/>
              <w:rPr>
                <w:sz w:val="10"/>
                <w:szCs w:val="10"/>
                <w:color w:val="auto"/>
              </w:rPr>
            </w:pPr>
          </w:p>
        </w:tc>
        <w:tc>
          <w:tcPr>
            <w:tcW w:w="558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rPr>
              <w:t>Chair of the Board, President and Chief Executive Officer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Jason P. Wells</w:t>
            </w:r>
          </w:p>
        </w:tc>
        <w:tc>
          <w:tcPr>
            <w:tcW w:w="2380" w:type="dxa"/>
            <w:vAlign w:val="bottom"/>
            <w:gridSpan w:val="12"/>
          </w:tcPr>
          <w:p>
            <w:pPr>
              <w:spacing w:after="0"/>
              <w:rPr>
                <w:sz w:val="14"/>
                <w:szCs w:val="1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(Principal Executive Officer and Director)</w:t>
            </w: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1"/>
                <w:szCs w:val="11"/>
                <w:color w:val="auto"/>
              </w:rPr>
              <w:t>/s/ CHRISTOPHER A. FOSTER</w:t>
            </w:r>
          </w:p>
        </w:tc>
        <w:tc>
          <w:tcPr>
            <w:tcW w:w="2120" w:type="dxa"/>
            <w:vAlign w:val="bottom"/>
            <w:gridSpan w:val="4"/>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Executive Vice President and Chief Financial Officer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gridSpan w:val="13"/>
          </w:tcPr>
          <w:p>
            <w:pPr>
              <w:jc w:val="center"/>
              <w:ind w:right="2380"/>
              <w:spacing w:after="0"/>
              <w:rPr>
                <w:sz w:val="20"/>
                <w:szCs w:val="20"/>
                <w:color w:val="auto"/>
              </w:rPr>
            </w:pPr>
            <w:r>
              <w:rPr>
                <w:rFonts w:ascii="Times New Roman" w:cs="Times New Roman" w:eastAsia="Times New Roman" w:hAnsi="Times New Roman"/>
                <w:sz w:val="11"/>
                <w:szCs w:val="11"/>
                <w:color w:val="auto"/>
              </w:rPr>
              <w:t>Christopher A. Foster</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(Principal Financial Officer)</w:t>
            </w: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1"/>
                <w:szCs w:val="11"/>
                <w:color w:val="auto"/>
              </w:rPr>
              <w:t>/s/ KRISTIE L. COLVIN</w:t>
            </w:r>
          </w:p>
        </w:tc>
        <w:tc>
          <w:tcPr>
            <w:tcW w:w="2300" w:type="dxa"/>
            <w:vAlign w:val="bottom"/>
            <w:gridSpan w:val="8"/>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Vice President and Chief Accounting Officer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gridSpan w:val="13"/>
          </w:tcPr>
          <w:p>
            <w:pPr>
              <w:jc w:val="center"/>
              <w:ind w:right="2360"/>
              <w:spacing w:after="0"/>
              <w:rPr>
                <w:sz w:val="20"/>
                <w:szCs w:val="20"/>
                <w:color w:val="auto"/>
              </w:rPr>
            </w:pPr>
            <w:r>
              <w:rPr>
                <w:rFonts w:ascii="Times New Roman" w:cs="Times New Roman" w:eastAsia="Times New Roman" w:hAnsi="Times New Roman"/>
                <w:sz w:val="11"/>
                <w:szCs w:val="11"/>
                <w:color w:val="auto"/>
              </w:rPr>
              <w:t>Kristie L. Colvin</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(Duly Authorized Officer and Principal Accounting Officer)</w:t>
            </w:r>
          </w:p>
        </w:tc>
      </w:tr>
      <w:tr>
        <w:trPr>
          <w:trHeight w:val="178"/>
        </w:trPr>
        <w:tc>
          <w:tcPr>
            <w:tcW w:w="1760" w:type="dxa"/>
            <w:vAlign w:val="bottom"/>
          </w:tcPr>
          <w:p>
            <w:pPr>
              <w:spacing w:after="0"/>
              <w:rPr>
                <w:sz w:val="15"/>
                <w:szCs w:val="15"/>
                <w:color w:val="auto"/>
              </w:rPr>
            </w:pPr>
          </w:p>
        </w:tc>
        <w:tc>
          <w:tcPr>
            <w:tcW w:w="3920" w:type="dxa"/>
            <w:vAlign w:val="bottom"/>
            <w:gridSpan w:val="21"/>
          </w:tcPr>
          <w:p>
            <w:pPr>
              <w:jc w:val="center"/>
              <w:ind w:right="1860"/>
              <w:spacing w:after="0"/>
              <w:rPr>
                <w:sz w:val="20"/>
                <w:szCs w:val="20"/>
                <w:color w:val="auto"/>
              </w:rPr>
            </w:pPr>
            <w:r>
              <w:rPr>
                <w:rFonts w:ascii="Times New Roman" w:cs="Times New Roman" w:eastAsia="Times New Roman" w:hAnsi="Times New Roman"/>
                <w:sz w:val="11"/>
                <w:szCs w:val="11"/>
                <w:color w:val="auto"/>
              </w:rPr>
              <w:t>/s/ WENDOLYNN MONTOYA CLOONAN</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16"/>
          </w:tcPr>
          <w:p>
            <w:pPr>
              <w:jc w:val="center"/>
              <w:ind w:right="300"/>
              <w:spacing w:after="0"/>
              <w:rPr>
                <w:sz w:val="20"/>
                <w:szCs w:val="20"/>
                <w:color w:val="auto"/>
              </w:rPr>
            </w:pPr>
            <w:r>
              <w:rPr>
                <w:rFonts w:ascii="Times New Roman" w:cs="Times New Roman" w:eastAsia="Times New Roman" w:hAnsi="Times New Roman"/>
                <w:sz w:val="11"/>
                <w:szCs w:val="11"/>
                <w:color w:val="auto"/>
              </w:rPr>
              <w:t>Wendolynn Montoya Cloonan</w:t>
            </w:r>
          </w:p>
        </w:tc>
        <w:tc>
          <w:tcPr>
            <w:tcW w:w="1860" w:type="dxa"/>
            <w:vAlign w:val="bottom"/>
            <w:gridSpan w:val="2"/>
          </w:tcPr>
          <w:p>
            <w:pPr>
              <w:spacing w:after="0"/>
              <w:rPr>
                <w:sz w:val="14"/>
                <w:szCs w:val="14"/>
                <w:color w:val="auto"/>
              </w:rPr>
            </w:pPr>
          </w:p>
        </w:tc>
        <w:tc>
          <w:tcPr>
            <w:tcW w:w="5580" w:type="dxa"/>
            <w:vAlign w:val="bottom"/>
          </w:tcPr>
          <w:p>
            <w:pPr>
              <w:spacing w:after="0"/>
              <w:rPr>
                <w:sz w:val="14"/>
                <w:szCs w:val="14"/>
                <w:color w:val="auto"/>
              </w:rPr>
            </w:pPr>
          </w:p>
        </w:tc>
      </w:tr>
      <w:tr>
        <w:trPr>
          <w:trHeight w:val="221"/>
        </w:trPr>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gridSpan w:val="18"/>
          </w:tcPr>
          <w:p>
            <w:pPr>
              <w:jc w:val="center"/>
              <w:ind w:right="2180"/>
              <w:spacing w:after="0"/>
              <w:rPr>
                <w:sz w:val="20"/>
                <w:szCs w:val="20"/>
                <w:color w:val="auto"/>
              </w:rPr>
            </w:pPr>
            <w:r>
              <w:rPr>
                <w:rFonts w:ascii="Times New Roman" w:cs="Times New Roman" w:eastAsia="Times New Roman" w:hAnsi="Times New Roman"/>
                <w:sz w:val="11"/>
                <w:szCs w:val="11"/>
                <w:color w:val="auto"/>
              </w:rPr>
              <w:t>/s/ BARBARA J. DUGANIER</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1"/>
                <w:szCs w:val="11"/>
                <w:color w:val="auto"/>
              </w:rPr>
              <w:t>Barbara J. Duganier</w:t>
            </w:r>
          </w:p>
        </w:tc>
        <w:tc>
          <w:tcPr>
            <w:tcW w:w="2180" w:type="dxa"/>
            <w:vAlign w:val="bottom"/>
            <w:gridSpan w:val="5"/>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/s/ LAURIE L. FITCH</w:t>
            </w:r>
          </w:p>
        </w:tc>
        <w:tc>
          <w:tcPr>
            <w:tcW w:w="2360" w:type="dxa"/>
            <w:vAlign w:val="bottom"/>
            <w:gridSpan w:val="11"/>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gridSpan w:val="13"/>
          </w:tcPr>
          <w:p>
            <w:pPr>
              <w:jc w:val="center"/>
              <w:ind w:right="2360"/>
              <w:spacing w:after="0"/>
              <w:rPr>
                <w:sz w:val="20"/>
                <w:szCs w:val="20"/>
                <w:color w:val="auto"/>
              </w:rPr>
            </w:pPr>
            <w:r>
              <w:rPr>
                <w:rFonts w:ascii="Times New Roman" w:cs="Times New Roman" w:eastAsia="Times New Roman" w:hAnsi="Times New Roman"/>
                <w:sz w:val="11"/>
                <w:szCs w:val="11"/>
                <w:color w:val="auto"/>
              </w:rPr>
              <w:t>Laurie L. Fitch</w:t>
            </w: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1"/>
                <w:szCs w:val="11"/>
                <w:color w:val="auto"/>
              </w:rPr>
              <w:t>/s/ CHRISTOPHER H. FRANKLIN</w:t>
            </w:r>
          </w:p>
        </w:tc>
        <w:tc>
          <w:tcPr>
            <w:tcW w:w="2060" w:type="dxa"/>
            <w:vAlign w:val="bottom"/>
            <w:gridSpan w:val="3"/>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14"/>
          </w:tcPr>
          <w:p>
            <w:pPr>
              <w:jc w:val="center"/>
              <w:ind w:right="2320"/>
              <w:spacing w:after="0"/>
              <w:rPr>
                <w:sz w:val="20"/>
                <w:szCs w:val="20"/>
                <w:color w:val="auto"/>
              </w:rPr>
            </w:pPr>
            <w:r>
              <w:rPr>
                <w:rFonts w:ascii="Times New Roman" w:cs="Times New Roman" w:eastAsia="Times New Roman" w:hAnsi="Times New Roman"/>
                <w:sz w:val="11"/>
                <w:szCs w:val="11"/>
                <w:color w:val="auto"/>
              </w:rPr>
              <w:t>Christopher H. Franklin</w:t>
            </w: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40" w:type="dxa"/>
            <w:vAlign w:val="bottom"/>
            <w:gridSpan w:val="17"/>
          </w:tcPr>
          <w:p>
            <w:pPr>
              <w:jc w:val="center"/>
              <w:ind w:right="2220"/>
              <w:spacing w:after="0"/>
              <w:rPr>
                <w:sz w:val="20"/>
                <w:szCs w:val="20"/>
                <w:color w:val="auto"/>
              </w:rPr>
            </w:pPr>
            <w:r>
              <w:rPr>
                <w:rFonts w:ascii="Times New Roman" w:cs="Times New Roman" w:eastAsia="Times New Roman" w:hAnsi="Times New Roman"/>
                <w:sz w:val="11"/>
                <w:szCs w:val="11"/>
                <w:color w:val="auto"/>
              </w:rPr>
              <w:t>/s/ RAQUELLE W. LEWIS</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1"/>
                <w:szCs w:val="11"/>
                <w:color w:val="auto"/>
              </w:rPr>
              <w:t>Raquelle W. Lewis</w:t>
            </w:r>
          </w:p>
        </w:tc>
        <w:tc>
          <w:tcPr>
            <w:tcW w:w="2240" w:type="dxa"/>
            <w:vAlign w:val="bottom"/>
            <w:gridSpan w:val="7"/>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1"/>
                <w:szCs w:val="11"/>
                <w:color w:val="auto"/>
              </w:rPr>
              <w:t>/s/ THADDEUS J. MALIK</w:t>
            </w:r>
          </w:p>
        </w:tc>
        <w:tc>
          <w:tcPr>
            <w:tcW w:w="2240" w:type="dxa"/>
            <w:vAlign w:val="bottom"/>
            <w:gridSpan w:val="7"/>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gridSpan w:val="13"/>
          </w:tcPr>
          <w:p>
            <w:pPr>
              <w:jc w:val="center"/>
              <w:ind w:right="2360"/>
              <w:spacing w:after="0"/>
              <w:rPr>
                <w:sz w:val="20"/>
                <w:szCs w:val="20"/>
                <w:color w:val="auto"/>
              </w:rPr>
            </w:pPr>
            <w:r>
              <w:rPr>
                <w:rFonts w:ascii="Times New Roman" w:cs="Times New Roman" w:eastAsia="Times New Roman" w:hAnsi="Times New Roman"/>
                <w:sz w:val="11"/>
                <w:szCs w:val="11"/>
                <w:color w:val="auto"/>
              </w:rPr>
              <w:t>Thaddeus J. Malik</w:t>
            </w: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1"/>
                <w:szCs w:val="11"/>
                <w:color w:val="auto"/>
              </w:rPr>
              <w:t>/s/ MANUEL B. MIRANDA</w:t>
            </w:r>
          </w:p>
        </w:tc>
        <w:tc>
          <w:tcPr>
            <w:tcW w:w="2220" w:type="dxa"/>
            <w:vAlign w:val="bottom"/>
            <w:gridSpan w:val="6"/>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gridSpan w:val="13"/>
          </w:tcPr>
          <w:p>
            <w:pPr>
              <w:jc w:val="center"/>
              <w:ind w:right="2360"/>
              <w:spacing w:after="0"/>
              <w:rPr>
                <w:sz w:val="20"/>
                <w:szCs w:val="20"/>
                <w:color w:val="auto"/>
              </w:rPr>
            </w:pPr>
            <w:r>
              <w:rPr>
                <w:rFonts w:ascii="Times New Roman" w:cs="Times New Roman" w:eastAsia="Times New Roman" w:hAnsi="Times New Roman"/>
                <w:sz w:val="11"/>
                <w:szCs w:val="11"/>
                <w:color w:val="auto"/>
              </w:rPr>
              <w:t>Manuel B. Miranda</w:t>
            </w: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40" w:type="dxa"/>
            <w:vAlign w:val="bottom"/>
            <w:gridSpan w:val="17"/>
          </w:tcPr>
          <w:p>
            <w:pPr>
              <w:jc w:val="center"/>
              <w:ind w:right="2240"/>
              <w:spacing w:after="0"/>
              <w:rPr>
                <w:sz w:val="20"/>
                <w:szCs w:val="20"/>
                <w:color w:val="auto"/>
              </w:rPr>
            </w:pPr>
            <w:r>
              <w:rPr>
                <w:rFonts w:ascii="Times New Roman" w:cs="Times New Roman" w:eastAsia="Times New Roman" w:hAnsi="Times New Roman"/>
                <w:sz w:val="11"/>
                <w:szCs w:val="11"/>
                <w:color w:val="auto"/>
              </w:rPr>
              <w:t>/s/ THEODORE F. POUND</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1"/>
                <w:szCs w:val="11"/>
                <w:color w:val="auto"/>
              </w:rPr>
              <w:t>Theodore F. Pound</w:t>
            </w:r>
          </w:p>
        </w:tc>
        <w:tc>
          <w:tcPr>
            <w:tcW w:w="2240" w:type="dxa"/>
            <w:vAlign w:val="bottom"/>
            <w:gridSpan w:val="7"/>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color w:val="auto"/>
              </w:rPr>
              <w:t>/s/ DEAN L. SEAVERS</w:t>
            </w:r>
          </w:p>
        </w:tc>
        <w:tc>
          <w:tcPr>
            <w:tcW w:w="2320" w:type="dxa"/>
            <w:vAlign w:val="bottom"/>
            <w:gridSpan w:val="9"/>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gridSpan w:val="13"/>
          </w:tcPr>
          <w:p>
            <w:pPr>
              <w:jc w:val="center"/>
              <w:ind w:right="2380"/>
              <w:spacing w:after="0"/>
              <w:rPr>
                <w:sz w:val="20"/>
                <w:szCs w:val="20"/>
                <w:color w:val="auto"/>
              </w:rPr>
            </w:pPr>
            <w:r>
              <w:rPr>
                <w:rFonts w:ascii="Times New Roman" w:cs="Times New Roman" w:eastAsia="Times New Roman" w:hAnsi="Times New Roman"/>
                <w:sz w:val="11"/>
                <w:szCs w:val="11"/>
                <w:color w:val="auto"/>
              </w:rPr>
              <w:t>Dean L. Seavers</w:t>
            </w: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gridSpan w:val="14"/>
          </w:tcPr>
          <w:p>
            <w:pPr>
              <w:jc w:val="center"/>
              <w:ind w:right="2340"/>
              <w:spacing w:after="0"/>
              <w:rPr>
                <w:sz w:val="20"/>
                <w:szCs w:val="20"/>
                <w:color w:val="auto"/>
              </w:rPr>
            </w:pPr>
            <w:r>
              <w:rPr>
                <w:rFonts w:ascii="Times New Roman" w:cs="Times New Roman" w:eastAsia="Times New Roman" w:hAnsi="Times New Roman"/>
                <w:sz w:val="11"/>
                <w:szCs w:val="11"/>
                <w:color w:val="auto"/>
              </w:rPr>
              <w:t>/s/ PHILLIP R. SMITH</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color w:val="auto"/>
              </w:rPr>
              <w:t>Phillip R. Smith</w:t>
            </w:r>
          </w:p>
        </w:tc>
        <w:tc>
          <w:tcPr>
            <w:tcW w:w="2340" w:type="dxa"/>
            <w:vAlign w:val="bottom"/>
            <w:gridSpan w:val="10"/>
          </w:tcPr>
          <w:p>
            <w:pPr>
              <w:spacing w:after="0"/>
              <w:rPr>
                <w:sz w:val="14"/>
                <w:szCs w:val="14"/>
                <w:color w:val="auto"/>
              </w:rPr>
            </w:pPr>
          </w:p>
        </w:tc>
        <w:tc>
          <w:tcPr>
            <w:tcW w:w="55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220" w:name="page221"/>
    <w:bookmarkEnd w:id="220"/>
    <w:tbl>
      <w:tblPr>
        <w:tblLayout w:type="fixed"/>
        <w:tblInd w:w="450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tc>
      </w:tr>
      <w:tr>
        <w:trPr>
          <w:trHeight w:val="184"/>
        </w:trPr>
        <w:tc>
          <w:tcPr>
            <w:tcW w:w="220" w:type="dxa"/>
            <w:vAlign w:val="bottom"/>
          </w:tcPr>
          <w:p>
            <w:pPr>
              <w:spacing w:after="0"/>
              <w:rPr>
                <w:sz w:val="16"/>
                <w:szCs w:val="16"/>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(Registrant)</w:t>
            </w:r>
          </w:p>
        </w:tc>
      </w:tr>
      <w:tr>
        <w:trPr>
          <w:trHeight w:val="35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8"/>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JESUS SOTO, JR.</w:t>
            </w:r>
          </w:p>
        </w:tc>
      </w:tr>
      <w:tr>
        <w:trPr>
          <w:trHeight w:val="165"/>
        </w:trPr>
        <w:tc>
          <w:tcPr>
            <w:tcW w:w="220" w:type="dxa"/>
            <w:vAlign w:val="bottom"/>
          </w:tcPr>
          <w:p>
            <w:pPr>
              <w:spacing w:after="0"/>
              <w:rPr>
                <w:sz w:val="14"/>
                <w:szCs w:val="14"/>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Jesus Soto, Jr.</w:t>
            </w:r>
          </w:p>
        </w:tc>
      </w:tr>
      <w:tr>
        <w:trPr>
          <w:trHeight w:val="186"/>
        </w:trPr>
        <w:tc>
          <w:tcPr>
            <w:tcW w:w="220" w:type="dxa"/>
            <w:vAlign w:val="bottom"/>
          </w:tcPr>
          <w:p>
            <w:pPr>
              <w:spacing w:after="0"/>
              <w:rPr>
                <w:sz w:val="16"/>
                <w:szCs w:val="16"/>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bl>
    <w:p>
      <w:pPr>
        <w:spacing w:after="0" w:line="240"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February 19, 2026.</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20" w:type="dxa"/>
            <w:vAlign w:val="bottom"/>
          </w:tcPr>
          <w:p>
            <w:pPr>
              <w:spacing w:after="0"/>
              <w:rPr>
                <w:sz w:val="13"/>
                <w:szCs w:val="13"/>
                <w:color w:val="auto"/>
              </w:rPr>
            </w:pPr>
          </w:p>
        </w:tc>
        <w:tc>
          <w:tcPr>
            <w:tcW w:w="54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39"/>
        </w:trPr>
        <w:tc>
          <w:tcPr>
            <w:tcW w:w="5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/s/ JESUS SOTO, JR.</w:t>
            </w:r>
          </w:p>
        </w:tc>
        <w:tc>
          <w:tcPr>
            <w:tcW w:w="320" w:type="dxa"/>
            <w:vAlign w:val="bottom"/>
          </w:tcPr>
          <w:p>
            <w:pPr>
              <w:spacing w:after="0"/>
              <w:rPr>
                <w:sz w:val="24"/>
                <w:szCs w:val="24"/>
                <w:color w:val="auto"/>
              </w:rPr>
            </w:pP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75"/>
        </w:trPr>
        <w:tc>
          <w:tcPr>
            <w:tcW w:w="5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Jesus Soto, Jr.</w:t>
            </w:r>
          </w:p>
        </w:tc>
        <w:tc>
          <w:tcPr>
            <w:tcW w:w="320" w:type="dxa"/>
            <w:vAlign w:val="bottom"/>
          </w:tcPr>
          <w:p>
            <w:pPr>
              <w:spacing w:after="0"/>
              <w:rPr>
                <w:sz w:val="15"/>
                <w:szCs w:val="15"/>
                <w:color w:val="auto"/>
              </w:rPr>
            </w:pP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219"/>
        </w:trPr>
        <w:tc>
          <w:tcPr>
            <w:tcW w:w="5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/s/ CHRISTOPHER A. FOSTER</w:t>
            </w:r>
          </w:p>
        </w:tc>
        <w:tc>
          <w:tcPr>
            <w:tcW w:w="320" w:type="dxa"/>
            <w:vAlign w:val="bottom"/>
          </w:tcPr>
          <w:p>
            <w:pPr>
              <w:spacing w:after="0"/>
              <w:rPr>
                <w:sz w:val="19"/>
                <w:szCs w:val="19"/>
                <w:color w:val="auto"/>
              </w:rPr>
            </w:pPr>
          </w:p>
        </w:tc>
        <w:tc>
          <w:tcPr>
            <w:tcW w:w="5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5"/>
        </w:trPr>
        <w:tc>
          <w:tcPr>
            <w:tcW w:w="5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Christopher A. Foster</w:t>
            </w:r>
          </w:p>
        </w:tc>
        <w:tc>
          <w:tcPr>
            <w:tcW w:w="320" w:type="dxa"/>
            <w:vAlign w:val="bottom"/>
          </w:tcPr>
          <w:p>
            <w:pPr>
              <w:spacing w:after="0"/>
              <w:rPr>
                <w:sz w:val="15"/>
                <w:szCs w:val="15"/>
                <w:color w:val="auto"/>
              </w:rPr>
            </w:pP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219"/>
        </w:trPr>
        <w:tc>
          <w:tcPr>
            <w:tcW w:w="5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/s/ KRISTIE L. COLVIN</w:t>
            </w:r>
          </w:p>
        </w:tc>
        <w:tc>
          <w:tcPr>
            <w:tcW w:w="320" w:type="dxa"/>
            <w:vAlign w:val="bottom"/>
          </w:tcPr>
          <w:p>
            <w:pPr>
              <w:spacing w:after="0"/>
              <w:rPr>
                <w:sz w:val="19"/>
                <w:szCs w:val="19"/>
                <w:color w:val="auto"/>
              </w:rPr>
            </w:pPr>
          </w:p>
        </w:tc>
        <w:tc>
          <w:tcPr>
            <w:tcW w:w="5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r>
      <w:tr>
        <w:trPr>
          <w:trHeight w:val="175"/>
        </w:trPr>
        <w:tc>
          <w:tcPr>
            <w:tcW w:w="54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Kristie L. Colvin</w:t>
            </w:r>
          </w:p>
        </w:tc>
        <w:tc>
          <w:tcPr>
            <w:tcW w:w="320" w:type="dxa"/>
            <w:vAlign w:val="bottom"/>
          </w:tcPr>
          <w:p>
            <w:pPr>
              <w:spacing w:after="0"/>
              <w:rPr>
                <w:sz w:val="15"/>
                <w:szCs w:val="15"/>
                <w:color w:val="auto"/>
              </w:rPr>
            </w:pPr>
          </w:p>
        </w:tc>
        <w:tc>
          <w:tcPr>
            <w:tcW w:w="5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(Duly Authorized Officer and Principal Accounting Officer)</w:t>
            </w:r>
          </w:p>
        </w:tc>
      </w:tr>
      <w:tr>
        <w:trPr>
          <w:trHeight w:val="523"/>
        </w:trPr>
        <w:tc>
          <w:tcPr>
            <w:tcW w:w="4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tc>
      </w:tr>
      <w:tr>
        <w:trPr>
          <w:trHeight w:val="184"/>
        </w:trPr>
        <w:tc>
          <w:tcPr>
            <w:tcW w:w="4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color w:val="auto"/>
                <w:w w:val="98"/>
              </w:rPr>
              <w:t>(Registrant)</w:t>
            </w:r>
          </w:p>
        </w:tc>
      </w:tr>
      <w:tr>
        <w:trPr>
          <w:trHeight w:val="350"/>
        </w:trPr>
        <w:tc>
          <w:tcPr>
            <w:tcW w:w="5420" w:type="dxa"/>
            <w:vAlign w:val="bottom"/>
            <w:gridSpan w:val="2"/>
          </w:tcPr>
          <w:p>
            <w:pPr>
              <w:ind w:left="4460"/>
              <w:spacing w:after="0"/>
              <w:rPr>
                <w:sz w:val="20"/>
                <w:szCs w:val="20"/>
                <w:color w:val="auto"/>
              </w:rPr>
            </w:pPr>
            <w:r>
              <w:rPr>
                <w:rFonts w:ascii="Times New Roman" w:cs="Times New Roman" w:eastAsia="Times New Roman" w:hAnsi="Times New Roman"/>
                <w:sz w:val="14"/>
                <w:szCs w:val="14"/>
                <w:color w:val="auto"/>
              </w:rPr>
              <w:t>By:</w:t>
            </w:r>
          </w:p>
        </w:tc>
        <w:tc>
          <w:tcPr>
            <w:tcW w:w="320" w:type="dxa"/>
            <w:vAlign w:val="bottom"/>
          </w:tcPr>
          <w:p>
            <w:pPr>
              <w:spacing w:after="0"/>
              <w:rPr>
                <w:sz w:val="24"/>
                <w:szCs w:val="24"/>
                <w:color w:val="auto"/>
              </w:rPr>
            </w:pPr>
          </w:p>
        </w:tc>
        <w:tc>
          <w:tcPr>
            <w:tcW w:w="5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color w:val="auto"/>
              </w:rPr>
              <w:t>/s/ JESUS SOTO, JR.</w:t>
            </w:r>
          </w:p>
        </w:tc>
      </w:tr>
      <w:tr>
        <w:trPr>
          <w:trHeight w:val="165"/>
        </w:trPr>
        <w:tc>
          <w:tcPr>
            <w:tcW w:w="46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320" w:type="dxa"/>
            <w:vAlign w:val="bottom"/>
            <w:tcBorders>
              <w:top w:val="single" w:sz="8" w:color="auto"/>
            </w:tcBorders>
          </w:tcPr>
          <w:p>
            <w:pPr>
              <w:jc w:val="center"/>
              <w:ind w:right="990"/>
              <w:spacing w:after="0"/>
              <w:rPr>
                <w:sz w:val="20"/>
                <w:szCs w:val="20"/>
                <w:color w:val="auto"/>
              </w:rPr>
            </w:pPr>
            <w:r>
              <w:rPr>
                <w:rFonts w:ascii="Times New Roman" w:cs="Times New Roman" w:eastAsia="Times New Roman" w:hAnsi="Times New Roman"/>
                <w:sz w:val="14"/>
                <w:szCs w:val="14"/>
                <w:color w:val="auto"/>
                <w:w w:val="98"/>
              </w:rPr>
              <w:t>Jesus Soto, Jr.</w:t>
            </w:r>
          </w:p>
        </w:tc>
        <w:tc>
          <w:tcPr>
            <w:tcW w:w="160" w:type="dxa"/>
            <w:vAlign w:val="bottom"/>
          </w:tcPr>
          <w:p>
            <w:pPr>
              <w:spacing w:after="0"/>
              <w:rPr>
                <w:sz w:val="14"/>
                <w:szCs w:val="14"/>
                <w:color w:val="auto"/>
              </w:rPr>
            </w:pPr>
          </w:p>
        </w:tc>
      </w:tr>
      <w:tr>
        <w:trPr>
          <w:trHeight w:val="186"/>
        </w:trPr>
        <w:tc>
          <w:tcPr>
            <w:tcW w:w="4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bl>
    <w:p>
      <w:pPr>
        <w:spacing w:after="0" w:line="251"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February 19, 2026.</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600" w:type="dxa"/>
            <w:vAlign w:val="bottom"/>
            <w:tcBorders>
              <w:bottom w:val="single" w:sz="8" w:color="auto"/>
            </w:tcBorders>
          </w:tcPr>
          <w:p>
            <w:pPr>
              <w:jc w:val="center"/>
              <w:ind w:left="891"/>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39"/>
        </w:trPr>
        <w:tc>
          <w:tcPr>
            <w:tcW w:w="4600" w:type="dxa"/>
            <w:vAlign w:val="bottom"/>
            <w:tcBorders>
              <w:bottom w:val="single" w:sz="8" w:color="auto"/>
            </w:tcBorders>
          </w:tcPr>
          <w:p>
            <w:pPr>
              <w:jc w:val="center"/>
              <w:ind w:left="891"/>
              <w:spacing w:after="0"/>
              <w:rPr>
                <w:sz w:val="20"/>
                <w:szCs w:val="20"/>
                <w:color w:val="auto"/>
              </w:rPr>
            </w:pPr>
            <w:r>
              <w:rPr>
                <w:rFonts w:ascii="Times New Roman" w:cs="Times New Roman" w:eastAsia="Times New Roman" w:hAnsi="Times New Roman"/>
                <w:sz w:val="14"/>
                <w:szCs w:val="14"/>
                <w:color w:val="auto"/>
              </w:rPr>
              <w:t>/s/ JESUS SOTO, JR.</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75"/>
        </w:trPr>
        <w:tc>
          <w:tcPr>
            <w:tcW w:w="4600" w:type="dxa"/>
            <w:vAlign w:val="bottom"/>
          </w:tcPr>
          <w:p>
            <w:pPr>
              <w:jc w:val="center"/>
              <w:ind w:left="891"/>
              <w:spacing w:after="0"/>
              <w:rPr>
                <w:sz w:val="20"/>
                <w:szCs w:val="20"/>
                <w:color w:val="auto"/>
              </w:rPr>
            </w:pPr>
            <w:r>
              <w:rPr>
                <w:rFonts w:ascii="Times New Roman" w:cs="Times New Roman" w:eastAsia="Times New Roman" w:hAnsi="Times New Roman"/>
                <w:sz w:val="14"/>
                <w:szCs w:val="14"/>
                <w:color w:val="auto"/>
              </w:rPr>
              <w:t>Jesus Soto, Jr.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 and Director)</w:t>
            </w:r>
          </w:p>
        </w:tc>
      </w:tr>
      <w:tr>
        <w:trPr>
          <w:trHeight w:val="261"/>
        </w:trPr>
        <w:tc>
          <w:tcPr>
            <w:tcW w:w="4600" w:type="dxa"/>
            <w:vAlign w:val="bottom"/>
            <w:tcBorders>
              <w:bottom w:val="single" w:sz="8" w:color="auto"/>
            </w:tcBorders>
          </w:tcPr>
          <w:p>
            <w:pPr>
              <w:jc w:val="center"/>
              <w:ind w:left="891"/>
              <w:spacing w:after="0"/>
              <w:rPr>
                <w:sz w:val="20"/>
                <w:szCs w:val="20"/>
                <w:color w:val="auto"/>
              </w:rPr>
            </w:pPr>
            <w:r>
              <w:rPr>
                <w:rFonts w:ascii="Times New Roman" w:cs="Times New Roman" w:eastAsia="Times New Roman" w:hAnsi="Times New Roman"/>
                <w:sz w:val="14"/>
                <w:szCs w:val="14"/>
                <w:color w:val="auto"/>
              </w:rPr>
              <w:t>/s/ CHRISTOPHER A. FOSTER</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5"/>
        </w:trPr>
        <w:tc>
          <w:tcPr>
            <w:tcW w:w="4600" w:type="dxa"/>
            <w:vAlign w:val="bottom"/>
          </w:tcPr>
          <w:p>
            <w:pPr>
              <w:jc w:val="center"/>
              <w:ind w:left="891"/>
              <w:spacing w:after="0"/>
              <w:rPr>
                <w:sz w:val="20"/>
                <w:szCs w:val="20"/>
                <w:color w:val="auto"/>
              </w:rPr>
            </w:pPr>
            <w:r>
              <w:rPr>
                <w:rFonts w:ascii="Times New Roman" w:cs="Times New Roman" w:eastAsia="Times New Roman" w:hAnsi="Times New Roman"/>
                <w:sz w:val="14"/>
                <w:szCs w:val="14"/>
                <w:color w:val="auto"/>
              </w:rPr>
              <w:t>Christopher A. Foster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251"/>
        </w:trPr>
        <w:tc>
          <w:tcPr>
            <w:tcW w:w="4600" w:type="dxa"/>
            <w:vAlign w:val="bottom"/>
            <w:tcBorders>
              <w:bottom w:val="single" w:sz="8" w:color="auto"/>
            </w:tcBorders>
          </w:tcPr>
          <w:p>
            <w:pPr>
              <w:jc w:val="center"/>
              <w:ind w:left="891"/>
              <w:spacing w:after="0"/>
              <w:rPr>
                <w:sz w:val="20"/>
                <w:szCs w:val="20"/>
                <w:color w:val="auto"/>
              </w:rPr>
            </w:pPr>
            <w:r>
              <w:rPr>
                <w:rFonts w:ascii="Times New Roman" w:cs="Times New Roman" w:eastAsia="Times New Roman" w:hAnsi="Times New Roman"/>
                <w:sz w:val="14"/>
                <w:szCs w:val="14"/>
                <w:color w:val="auto"/>
              </w:rPr>
              <w:t>/s/ KRISTIE L. COLVIN</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r>
      <w:tr>
        <w:trPr>
          <w:trHeight w:val="175"/>
        </w:trPr>
        <w:tc>
          <w:tcPr>
            <w:tcW w:w="4600" w:type="dxa"/>
            <w:vAlign w:val="bottom"/>
          </w:tcPr>
          <w:p>
            <w:pPr>
              <w:jc w:val="center"/>
              <w:ind w:left="891"/>
              <w:spacing w:after="0"/>
              <w:rPr>
                <w:sz w:val="20"/>
                <w:szCs w:val="20"/>
                <w:color w:val="auto"/>
              </w:rPr>
            </w:pPr>
            <w:r>
              <w:rPr>
                <w:rFonts w:ascii="Times New Roman" w:cs="Times New Roman" w:eastAsia="Times New Roman" w:hAnsi="Times New Roman"/>
                <w:sz w:val="14"/>
                <w:szCs w:val="14"/>
                <w:color w:val="auto"/>
              </w:rPr>
              <w:t>Kristie L. Colvin</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(Duly Authorized Officer and Principal Accounting Officer)</w:t>
            </w:r>
          </w:p>
        </w:tc>
      </w:tr>
      <w:tr>
        <w:trPr>
          <w:trHeight w:val="855"/>
        </w:trPr>
        <w:tc>
          <w:tcPr>
            <w:tcW w:w="4600" w:type="dxa"/>
            <w:vAlign w:val="bottom"/>
          </w:tcPr>
          <w:p>
            <w:pPr>
              <w:spacing w:after="0"/>
              <w:rPr>
                <w:sz w:val="24"/>
                <w:szCs w:val="24"/>
                <w:color w:val="auto"/>
              </w:rPr>
            </w:pPr>
          </w:p>
        </w:tc>
        <w:tc>
          <w:tcPr>
            <w:tcW w:w="6600" w:type="dxa"/>
            <w:vAlign w:val="bottom"/>
            <w:gridSpan w:val="3"/>
          </w:tcPr>
          <w:p>
            <w:pPr>
              <w:jc w:val="right"/>
              <w:ind w:right="5411"/>
              <w:spacing w:after="0"/>
              <w:rPr>
                <w:sz w:val="20"/>
                <w:szCs w:val="20"/>
                <w:color w:val="auto"/>
              </w:rPr>
            </w:pPr>
            <w:r>
              <w:rPr>
                <w:rFonts w:ascii="Times New Roman" w:cs="Times New Roman" w:eastAsia="Times New Roman" w:hAnsi="Times New Roman"/>
                <w:sz w:val="14"/>
                <w:szCs w:val="14"/>
                <w:color w:val="auto"/>
              </w:rPr>
              <w:t>209</w:t>
            </w:r>
          </w:p>
        </w:tc>
      </w:tr>
    </w:tbl>
    <w:p>
      <w:pPr>
        <w:sectPr>
          <w:pgSz w:w="11900" w:h="16838" w:orient="portrait"/>
          <w:cols w:equalWidth="0" w:num="1">
            <w:col w:w="11260"/>
          </w:cols>
          <w:pgMar w:left="300" w:top="1025" w:right="339" w:bottom="1440" w:gutter="0" w:footer="0" w:header="0"/>
        </w:sectPr>
      </w:pPr>
    </w:p>
    <w:bookmarkStart w:id="221" w:name="page222"/>
    <w:bookmarkEnd w:id="2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4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50" w:name="page251"/>
    <w:bookmarkEnd w:id="2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5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5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5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64" w:name="page265"/>
    <w:bookmarkEnd w:id="2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5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5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5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5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5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5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5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5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5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5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5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5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77" w:name="page278"/>
    <w:bookmarkEnd w:id="2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5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5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5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5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5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5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5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5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5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SIGNIFICANT SUBSIDIARIES OF CENTERPOINT ENERGY, INC.</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subsidiaries are deemed “significant subsidiaries” pursuant to Item 601(b) (21) of Regulation S-K: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Utility Holding, LLC, a Delaware limited liability company and a direct wholly-owned subsidiary of CenterPoint Energy,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Houston Electric, LLC, a Texas limited liability company and an indirect wholly-owned subsidiary of CenterPoint Energy,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Resources Corp., a Delaware corporation and an indirect wholly-owned subsidiary of CenterPoint Energy,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Investment Management, Inc., a Delaware corporation and an indirect wholly-owned subsidiary of CenterPoint Energy,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Affiliated Utilities, Inc. an Indiana corporation and an indirect wholly-owned subsidiary of CenterPoint Energy,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LLC, an Indiana limited liability company and a wholly-owned subsidiary of Vectren Affiliated Utilities,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Utility Holdings LLC, an Indiana limited liability company and a wholly-owned subsidiary of Vectren LLC</w:t>
      </w:r>
    </w:p>
    <w:p>
      <w:pPr>
        <w:spacing w:after="0" w:line="200" w:lineRule="exact"/>
        <w:rPr>
          <w:sz w:val="20"/>
          <w:szCs w:val="20"/>
          <w:color w:val="auto"/>
        </w:rPr>
      </w:pPr>
    </w:p>
    <w:p>
      <w:pPr>
        <w:ind w:right="260"/>
        <w:spacing w:after="0" w:line="537" w:lineRule="auto"/>
        <w:rPr>
          <w:sz w:val="20"/>
          <w:szCs w:val="20"/>
          <w:color w:val="auto"/>
        </w:rPr>
      </w:pPr>
      <w:r>
        <w:rPr>
          <w:rFonts w:ascii="Times New Roman" w:cs="Times New Roman" w:eastAsia="Times New Roman" w:hAnsi="Times New Roman"/>
          <w:sz w:val="14"/>
          <w:szCs w:val="14"/>
          <w:color w:val="auto"/>
        </w:rPr>
        <w:t>Southern Indiana Gas and Electric Company, an Indiana corporation and a wholly-owned subsidiary of Vectren Utility Holdings LLC (doing business as Vectren Energy Delivery of Indiana, Inc.) Indiana Gas Company, Inc., an Indiana corporation and a wholly-owned subsidiary of CenterPoint Energy Resources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Energy Delivery of Ohio, LLC, an Ohio limited liability company and a wholly-owned subsidiary of CenterPoint Energy Resources Corp.</w:t>
      </w:r>
    </w:p>
    <w:p>
      <w:pPr>
        <w:spacing w:after="0" w:line="200" w:lineRule="exact"/>
        <w:rPr>
          <w:sz w:val="20"/>
          <w:szCs w:val="20"/>
          <w:color w:val="auto"/>
        </w:rPr>
      </w:pPr>
    </w:p>
    <w:p>
      <w:pPr>
        <w:spacing w:after="0" w:line="360" w:lineRule="exact"/>
        <w:rPr>
          <w:sz w:val="20"/>
          <w:szCs w:val="20"/>
          <w:color w:val="auto"/>
        </w:rPr>
      </w:pPr>
    </w:p>
    <w:p>
      <w:pPr>
        <w:ind w:firstLine="5"/>
        <w:spacing w:after="0" w:line="287" w:lineRule="auto"/>
        <w:tabs>
          <w:tab w:leader="none" w:pos="213"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 (21) of Regulation S-K, registrant has omitted the names of subsidiaries, which considered in the aggregate as a single subsidiary, would not constitute a “significant subsidiary” (as defined under Rule 1-02(w) of Regulation S-X) as of December 31, 2025.</w:t>
      </w:r>
    </w:p>
    <w:p>
      <w:pPr>
        <w:sectPr>
          <w:pgSz w:w="11900" w:h="16838" w:orient="portrait"/>
          <w:cols w:equalWidth="0" w:num="1">
            <w:col w:w="11280"/>
          </w:cols>
          <w:pgMar w:left="300" w:top="1141" w:right="31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4"/>
          <w:szCs w:val="14"/>
          <w:b w:val="1"/>
          <w:bCs w:val="1"/>
          <w:color w:val="auto"/>
        </w:rPr>
        <w:t>Exhibit 21.2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SIGNIFICANT SUBSIDIARIES OF CENTERPOINT ENERGY RESOURCES CORP.</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subsidiaries are deemed “significant subsidiaries” pursuant to Item 601(b) (21) of Regulation S-K: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Indiana Gas Company, Inc., an Indiana corporation and a wholly-owned subsidiary of CenterPoint Energy Resources Corp.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Energy Delivery of Ohio, LLC, an Ohio limited liability company and a wholly-owned subsidiary of CenterPoint Energy Resources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
        <w:spacing w:after="0" w:line="287" w:lineRule="auto"/>
        <w:tabs>
          <w:tab w:leader="none" w:pos="213"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 (21) of Regulation S-K, registrant has omitted the names of subsidiaries, which considered in the aggregate as a single subsidiary, would not constitute a “significant subsidiary” (as defined under Rule 1-02(w) of Regulation S-X) as of December 31, 2025.</w:t>
      </w:r>
    </w:p>
    <w:p>
      <w:pPr>
        <w:sectPr>
          <w:pgSz w:w="11900" w:h="16838" w:orient="portrait"/>
          <w:cols w:equalWidth="0" w:num="1">
            <w:col w:w="11280"/>
          </w:cols>
          <w:pgMar w:left="300" w:top="1141" w:right="31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333-272025, 333-289261, and 333-238844 on Form S-3; Registration Statement Nos. 333-286674, 333-264489, 333-238800, 333-203201, 333-179310, 333-173660, 333-149757, 333-101202, 333-115976, 333-159586, and 333-105773 on Form S-8; Post-Effective Amendment No. 1 to Registration Statement Nos. 333-32413-99, 333-49333-99, 333-38188-99, 333-60260-99, and 333-98271-99 on Form S-8; Post-Effective Amendment No. 5 to Registration Statement No. 333-11329-99 on Form S-8; and Post-Effective Amendment No. 2 to Registration Statement No. 333-159586 of our reports dated February 19, 2026, relating to the consolidated financial statements of CenterPoint Energy, Inc. and subsidiaries (the “Company”) and the effectiveness of the Company's internal control over financial reporting appearing in this Annual Report on Form 10-K of CenterPoint Energy, Inc. for the year ended December 31, 2025.</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1130" w:right="3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333-272025-02 on Form S-3 of our report dated February 19, 2026, relating to the consolidated financial statements of CenterPoint Energy Houston Electric, LLC and subsidiaries appearing in this Annual Report on Form 10-K of CenterPoint Energy Houston Electric, LLC for the year ended December 31, 2025.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000"/>
          </w:cols>
          <w:pgMar w:left="300" w:top="1131" w:right="5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333-272025-01 on Form S-3 of our report dated February 19, 2026, relating to the consolidated financial statements of CenterPoint Energy Resources Corp. and subsidiaries appearing in this Annual Report on Form 10-K of CenterPoint Energy Resources Corp. for the year ended December 31, 2025.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000"/>
          </w:cols>
          <w:pgMar w:left="300" w:top="1131" w:right="59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4"/>
          <w:szCs w:val="14"/>
          <w:color w:val="auto"/>
        </w:rPr>
        <w:t>Exhibit 31.1.1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P. Wells, certify that:</w:t>
      </w:r>
    </w:p>
    <w:p>
      <w:pPr>
        <w:spacing w:after="0" w:line="179" w:lineRule="exact"/>
        <w:rPr>
          <w:sz w:val="20"/>
          <w:szCs w:val="20"/>
          <w:color w:val="auto"/>
        </w:rPr>
      </w:pPr>
    </w:p>
    <w:p>
      <w:pPr>
        <w:ind w:left="980" w:hanging="466"/>
        <w:spacing w:after="0"/>
        <w:tabs>
          <w:tab w:leader="none" w:pos="9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Inc.;</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01"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029"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34"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19,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52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30" w:right="31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4"/>
          <w:szCs w:val="14"/>
          <w:color w:val="auto"/>
        </w:rPr>
        <w:t>Exhibit 31.1.2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Jesus Soto, Jr., certify that:</w:t>
      </w:r>
    </w:p>
    <w:p>
      <w:pPr>
        <w:spacing w:after="0" w:line="179" w:lineRule="exact"/>
        <w:rPr>
          <w:sz w:val="20"/>
          <w:szCs w:val="20"/>
          <w:color w:val="auto"/>
        </w:rPr>
      </w:pPr>
    </w:p>
    <w:p>
      <w:pPr>
        <w:ind w:left="1020" w:hanging="506"/>
        <w:spacing w:after="0"/>
        <w:tabs>
          <w:tab w:leader="none" w:pos="10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19,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528">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4"/>
          <w:szCs w:val="14"/>
          <w:color w:val="auto"/>
        </w:rPr>
        <w:t>Exhibit 31.1.3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Jesus Soto, Jr., certify that:</w:t>
      </w:r>
    </w:p>
    <w:p>
      <w:pPr>
        <w:spacing w:after="0" w:line="179" w:lineRule="exact"/>
        <w:rPr>
          <w:sz w:val="20"/>
          <w:szCs w:val="20"/>
          <w:color w:val="auto"/>
        </w:rPr>
      </w:pPr>
    </w:p>
    <w:p>
      <w:pPr>
        <w:ind w:left="980" w:hanging="466"/>
        <w:spacing w:after="0"/>
        <w:tabs>
          <w:tab w:leader="none" w:pos="9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01"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072"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880" w:hanging="366"/>
        <w:spacing w:after="0"/>
        <w:tabs>
          <w:tab w:leader="none" w:pos="8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19, 2026</w:t>
      </w:r>
    </w:p>
    <w:p>
      <w:pPr>
        <w:spacing w:after="0" w:line="30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14605</wp:posOffset>
            </wp:positionV>
            <wp:extent cx="224345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529">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Jesus Soto, Jr.</w:t>
      </w:r>
    </w:p>
    <w:p>
      <w:pPr>
        <w:spacing w:after="0" w:line="4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4"/>
          <w:szCs w:val="14"/>
          <w:color w:val="auto"/>
        </w:rPr>
        <w:t>Exhibit 31.2.1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980" w:hanging="466"/>
        <w:spacing w:after="0"/>
        <w:tabs>
          <w:tab w:leader="none" w:pos="9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Inc.;</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01"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072"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34"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19,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530">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30" w:right="31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4"/>
          <w:szCs w:val="14"/>
          <w:color w:val="auto"/>
        </w:rPr>
        <w:t>Exhibit 31.2.2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19,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531">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4"/>
          <w:szCs w:val="14"/>
          <w:color w:val="auto"/>
        </w:rPr>
        <w:t>Exhibit 31.2.3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980" w:hanging="466"/>
        <w:spacing w:after="0"/>
        <w:tabs>
          <w:tab w:leader="none" w:pos="9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01"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07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880" w:hanging="366"/>
        <w:spacing w:after="0"/>
        <w:tabs>
          <w:tab w:leader="none" w:pos="8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19, 2026</w:t>
      </w:r>
    </w:p>
    <w:p>
      <w:pPr>
        <w:spacing w:after="0" w:line="30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14605</wp:posOffset>
            </wp:positionV>
            <wp:extent cx="224345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532">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4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4"/>
          <w:szCs w:val="14"/>
          <w:color w:val="auto"/>
        </w:rPr>
        <w:t>Exhibit 32.1.1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Inc. (the “Company”) on Form 10-K for the year ended December 31, 2025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533">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729" w:right="31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4"/>
          <w:szCs w:val="14"/>
          <w:color w:val="auto"/>
        </w:rPr>
        <w:t>Exhibit 32.1.2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Houston Electric, LLC (the “Company”) on Form 10-K for the year ended December 31, 2025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534">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729" w:right="31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4"/>
          <w:szCs w:val="14"/>
          <w:color w:val="auto"/>
        </w:rPr>
        <w:t>Exhibit 32.1.3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Resources Corp. (the “Company”) on Form 10-K for the year ended December 31, 2025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3944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535">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729" w:right="31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4"/>
          <w:szCs w:val="14"/>
          <w:color w:val="auto"/>
        </w:rPr>
        <w:t>Exhibit 32.2.1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Inc. (the “Company”) on Form 10-K for the year ended December 31,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536">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729" w:right="31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4"/>
          <w:szCs w:val="14"/>
          <w:color w:val="auto"/>
        </w:rPr>
        <w:t>Exhibit 32.2.2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Houston Electric, LLC (the “Company”) on Form 10-K for the year ended December 31,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537">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730" w:right="31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4"/>
          <w:szCs w:val="14"/>
          <w:color w:val="auto"/>
        </w:rPr>
        <w:t>Exhibit 32.2.3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Resources Corp. (the “Company”) on Form 10-K for the year ended December 31,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3944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538">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899" w:right="319" w:bottom="1440" w:gutter="0" w:footer="0" w:header="0"/>
        </w:sectPr>
      </w:pPr>
    </w:p>
    <w:bookmarkStart w:id="307" w:name="page308"/>
    <w:bookmarkEnd w:id="3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5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5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5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5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2" w:name="page313"/>
    <w:bookmarkEnd w:id="3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5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5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5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5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7" w:name="page318"/>
    <w:bookmarkEnd w:id="3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5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5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5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5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decimal"/>
      <w:start w:val="713"/>
    </w:lvl>
  </w:abstractNum>
  <w:abstractNum w:abstractNumId="3">
    <w:nsid w:val="540A471C"/>
    <w:multiLevelType w:val="hybridMultilevel"/>
    <w:lvl w:ilvl="0">
      <w:lvlJc w:val="left"/>
      <w:lvlText w:val="(%1)"/>
      <w:numFmt w:val="decimal"/>
      <w:start w:val="713"/>
    </w:lvl>
  </w:abstractNum>
  <w:abstractNum w:abstractNumId="4">
    <w:nsid w:val="7BD3EE7B"/>
    <w:multiLevelType w:val="hybridMultilevel"/>
    <w:lvl w:ilvl="0">
      <w:lvlJc w:val="left"/>
      <w:lvlText w:val="(%1)"/>
      <w:numFmt w:val="decimal"/>
      <w:start w:val="713"/>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1)"/>
      <w:numFmt w:val="decimal"/>
      <w:start w:val="1"/>
    </w:lvl>
  </w:abstractNum>
  <w:abstractNum w:abstractNumId="14">
    <w:nsid w:val="68EB2F63"/>
    <w:multiLevelType w:val="hybridMultilevel"/>
    <w:lvl w:ilvl="0">
      <w:lvlJc w:val="left"/>
      <w:lvlText w:val="(%1)"/>
      <w:numFmt w:val="decimal"/>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1)"/>
      <w:numFmt w:val="decimal"/>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1)"/>
      <w:numFmt w:val="decimal"/>
      <w:start w:val="1"/>
    </w:lvl>
  </w:abstractNum>
  <w:abstractNum w:abstractNumId="23">
    <w:nsid w:val="7FB7E0AA"/>
    <w:multiLevelType w:val="hybridMultilevel"/>
    <w:lvl w:ilvl="0">
      <w:lvlJc w:val="left"/>
      <w:lvlText w:val="(%1)"/>
      <w:numFmt w:val="decimal"/>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1)"/>
      <w:numFmt w:val="decimal"/>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1)"/>
      <w:numFmt w:val="decimal"/>
      <w:start w:val="1"/>
    </w:lvl>
  </w:abstractNum>
  <w:abstractNum w:abstractNumId="32">
    <w:nsid w:val="3222E7CD"/>
    <w:multiLevelType w:val="hybridMultilevel"/>
    <w:lvl w:ilvl="0">
      <w:lvlJc w:val="left"/>
      <w:lvlText w:val="(%1)"/>
      <w:numFmt w:val="decimal"/>
      <w:start w:val="1"/>
    </w:lvl>
  </w:abstractNum>
  <w:abstractNum w:abstractNumId="33">
    <w:nsid w:val="74DE0EE3"/>
    <w:multiLevelType w:val="hybridMultilevel"/>
    <w:lvl w:ilvl="0">
      <w:lvlJc w:val="left"/>
      <w:lvlText w:val="(%1)"/>
      <w:numFmt w:val="decimal"/>
      <w:start w:val="1"/>
    </w:lvl>
  </w:abstractNum>
  <w:abstractNum w:abstractNumId="34">
    <w:nsid w:val="68EBC550"/>
    <w:multiLevelType w:val="hybridMultilevel"/>
    <w:lvl w:ilvl="0">
      <w:lvlJc w:val="left"/>
      <w:lvlText w:val="(%1)"/>
      <w:numFmt w:val="decimal"/>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1)"/>
      <w:numFmt w:val="decimal"/>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1)"/>
      <w:numFmt w:val="decimal"/>
      <w:start w:val="2"/>
    </w:lvl>
    <w:lvl w:ilvl="1">
      <w:lvlJc w:val="left"/>
      <w:lvlText w:val="(%2)"/>
      <w:numFmt w:val="lowerLetter"/>
      <w:start w:val="1"/>
    </w:lvl>
  </w:abstractNum>
  <w:abstractNum w:abstractNumId="49">
    <w:nsid w:val="488AC1A"/>
    <w:multiLevelType w:val="hybridMultilevel"/>
    <w:lvl w:ilvl="0">
      <w:lvlJc w:val="left"/>
      <w:lvlText w:val="%1"/>
      <w:numFmt w:val="lowerLetter"/>
      <w:start w:val="1"/>
    </w:lvl>
    <w:lvl w:ilvl="1">
      <w:lvlJc w:val="left"/>
      <w:lvlText w:val="(%2)"/>
      <w:numFmt w:val="decimal"/>
      <w:start w:val="1"/>
    </w:lvl>
  </w:abstractNum>
  <w:abstractNum w:abstractNumId="50">
    <w:nsid w:val="5FB8011C"/>
    <w:multiLevelType w:val="hybridMultilevel"/>
    <w:lvl w:ilvl="0">
      <w:lvlJc w:val="left"/>
      <w:lvlText w:val="(%1)"/>
      <w:numFmt w:val="lowerLetter"/>
      <w:start w:val="8"/>
    </w:lvl>
    <w:lvl w:ilvl="1">
      <w:lvlJc w:val="left"/>
      <w:lvlText w:val="%2"/>
      <w:numFmt w:val="decimal"/>
      <w:start w:val="1"/>
    </w:lvl>
  </w:abstractNum>
  <w:abstractNum w:abstractNumId="51">
    <w:nsid w:val="6AA78F7F"/>
    <w:multiLevelType w:val="hybridMultilevel"/>
    <w:lvl w:ilvl="0">
      <w:lvlJc w:val="left"/>
      <w:lvlText w:val="(%1)"/>
      <w:numFmt w:val="decimal"/>
      <w:start w:val="1"/>
    </w:lvl>
  </w:abstractNum>
  <w:abstractNum w:abstractNumId="52">
    <w:nsid w:val="7672BD23"/>
    <w:multiLevelType w:val="hybridMultilevel"/>
    <w:lvl w:ilvl="0">
      <w:lvlJc w:val="left"/>
      <w:lvlText w:val="%1"/>
      <w:numFmt w:val="lowerLetter"/>
      <w:start w:val="1"/>
    </w:lvl>
    <w:lvl w:ilvl="1">
      <w:lvlJc w:val="left"/>
      <w:lvlText w:val="(%2)"/>
      <w:numFmt w:val="decimal"/>
      <w:start w:val="1"/>
    </w:lvl>
  </w:abstractNum>
  <w:abstractNum w:abstractNumId="53">
    <w:nsid w:val="6FC75AF8"/>
    <w:multiLevelType w:val="hybridMultilevel"/>
    <w:lvl w:ilvl="0">
      <w:lvlJc w:val="left"/>
      <w:lvlText w:val="(%1)"/>
      <w:numFmt w:val="lowerLetter"/>
      <w:start w:val="2"/>
    </w:lvl>
    <w:lvl w:ilvl="1">
      <w:lvlJc w:val="left"/>
      <w:lvlText w:val="%2"/>
      <w:numFmt w:val="decimal"/>
      <w:start w:val="1"/>
    </w:lvl>
  </w:abstractNum>
  <w:abstractNum w:abstractNumId="54">
    <w:nsid w:val="6A5F7029"/>
    <w:multiLevelType w:val="hybridMultilevel"/>
    <w:lvl w:ilvl="0">
      <w:lvlJc w:val="left"/>
      <w:lvlText w:val="%1"/>
      <w:numFmt w:val="decimal"/>
      <w:start w:val="1"/>
    </w:lvl>
    <w:lvl w:ilvl="1">
      <w:lvlJc w:val="left"/>
      <w:lvlText w:val="(%2)"/>
      <w:numFmt w:val="decimal"/>
      <w:start w:val="1"/>
    </w:lvl>
  </w:abstractNum>
  <w:abstractNum w:abstractNumId="55">
    <w:nsid w:val="7D5E18F8"/>
    <w:multiLevelType w:val="hybridMultilevel"/>
    <w:lvl w:ilvl="0">
      <w:lvlJc w:val="left"/>
      <w:lvlText w:val="(%1)"/>
      <w:numFmt w:val="decimal"/>
      <w:start w:val="4"/>
    </w:lvl>
    <w:lvl w:ilvl="1">
      <w:lvlJc w:val="left"/>
      <w:lvlText w:val="%2"/>
      <w:numFmt w:val="decimal"/>
      <w:start w:val="1"/>
    </w:lvl>
  </w:abstractNum>
  <w:abstractNum w:abstractNumId="56">
    <w:nsid w:val="5F3534A4"/>
    <w:multiLevelType w:val="hybridMultilevel"/>
    <w:lvl w:ilvl="0">
      <w:lvlJc w:val="left"/>
      <w:lvlText w:val="(%1)"/>
      <w:numFmt w:val="decimal"/>
      <w:start w:val="1"/>
    </w:lvl>
  </w:abstractNum>
  <w:abstractNum w:abstractNumId="57">
    <w:nsid w:val="73A1821B"/>
    <w:multiLevelType w:val="hybridMultilevel"/>
    <w:lvl w:ilvl="0">
      <w:lvlJc w:val="left"/>
      <w:lvlText w:val="(%1)"/>
      <w:numFmt w:val="decimal"/>
      <w:start w:val="1"/>
    </w:lvl>
  </w:abstractNum>
  <w:abstractNum w:abstractNumId="58">
    <w:nsid w:val="7DE67713"/>
    <w:multiLevelType w:val="hybridMultilevel"/>
    <w:lvl w:ilvl="0">
      <w:lvlJc w:val="left"/>
      <w:lvlText w:val="(%1)"/>
      <w:numFmt w:val="decimal"/>
      <w:start w:val="1"/>
    </w:lvl>
  </w:abstractNum>
  <w:abstractNum w:abstractNumId="59">
    <w:nsid w:val="555C55B5"/>
    <w:multiLevelType w:val="hybridMultilevel"/>
    <w:lvl w:ilvl="0">
      <w:lvlJc w:val="left"/>
      <w:lvlText w:val="(%1)"/>
      <w:numFmt w:val="decimal"/>
      <w:start w:val="1"/>
    </w:lvl>
  </w:abstractNum>
  <w:abstractNum w:abstractNumId="60">
    <w:nsid w:val="3FA62ACA"/>
    <w:multiLevelType w:val="hybridMultilevel"/>
    <w:lvl w:ilvl="0">
      <w:lvlJc w:val="left"/>
      <w:lvlText w:val="(%1)"/>
      <w:numFmt w:val="decimal"/>
      <w:start w:val="1"/>
    </w:lvl>
  </w:abstractNum>
  <w:abstractNum w:abstractNumId="61">
    <w:nsid w:val="14FCE74E"/>
    <w:multiLevelType w:val="hybridMultilevel"/>
    <w:lvl w:ilvl="0">
      <w:lvlJc w:val="left"/>
      <w:lvlText w:val="(%1)"/>
      <w:numFmt w:val="decimal"/>
      <w:start w:val="1"/>
    </w:lvl>
  </w:abstractNum>
  <w:abstractNum w:abstractNumId="62">
    <w:nsid w:val="6A3DD3E8"/>
    <w:multiLevelType w:val="hybridMultilevel"/>
    <w:lvl w:ilvl="0">
      <w:lvlJc w:val="left"/>
      <w:lvlText w:val="%1"/>
      <w:numFmt w:val="upperLetter"/>
      <w:start w:val="35"/>
    </w:lvl>
  </w:abstractNum>
  <w:abstractNum w:abstractNumId="63">
    <w:nsid w:val="71C91298"/>
    <w:multiLevelType w:val="hybridMultilevel"/>
    <w:lvl w:ilvl="0">
      <w:lvlJc w:val="left"/>
      <w:lvlText w:val="(%1)"/>
      <w:numFmt w:val="decimal"/>
      <w:start w:val="8"/>
    </w:lvl>
    <w:lvl w:ilvl="1">
      <w:lvlJc w:val="left"/>
      <w:lvlText w:val="(%2)"/>
      <w:numFmt w:val="lowerLetter"/>
      <w:start w:val="1"/>
    </w:lvl>
  </w:abstractNum>
  <w:abstractNum w:abstractNumId="64">
    <w:nsid w:val="9DAF632"/>
    <w:multiLevelType w:val="hybridMultilevel"/>
    <w:lvl w:ilvl="0">
      <w:lvlJc w:val="left"/>
      <w:lvlText w:val="(%1)"/>
      <w:numFmt w:val="decimal"/>
      <w:start w:val="1"/>
    </w:lvl>
  </w:abstractNum>
  <w:abstractNum w:abstractNumId="65">
    <w:nsid w:val="53299938"/>
    <w:multiLevelType w:val="hybridMultilevel"/>
    <w:lvl w:ilvl="0">
      <w:lvlJc w:val="left"/>
      <w:lvlText w:val="(%1)"/>
      <w:numFmt w:val="decimal"/>
      <w:start w:val="1"/>
    </w:lvl>
  </w:abstractNum>
  <w:abstractNum w:abstractNumId="66">
    <w:nsid w:val="1FBFE8E0"/>
    <w:multiLevelType w:val="hybridMultilevel"/>
    <w:lvl w:ilvl="0">
      <w:lvlJc w:val="left"/>
      <w:lvlText w:val="(%1)"/>
      <w:numFmt w:val="decimal"/>
      <w:start w:val="1"/>
    </w:lvl>
  </w:abstractNum>
  <w:abstractNum w:abstractNumId="67">
    <w:nsid w:val="5092CA79"/>
    <w:multiLevelType w:val="hybridMultilevel"/>
    <w:lvl w:ilvl="0">
      <w:lvlJc w:val="left"/>
      <w:lvlText w:val="(%1)"/>
      <w:numFmt w:val="decimal"/>
      <w:start w:val="1"/>
    </w:lvl>
  </w:abstractNum>
  <w:abstractNum w:abstractNumId="68">
    <w:nsid w:val="1D545C4D"/>
    <w:multiLevelType w:val="hybridMultilevel"/>
    <w:lvl w:ilvl="0">
      <w:lvlJc w:val="left"/>
      <w:lvlText w:val="(%1)"/>
      <w:numFmt w:val="decimal"/>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1"/>
    </w:lvl>
  </w:abstractNum>
  <w:abstractNum w:abstractNumId="71">
    <w:nsid w:val="2A155DBC"/>
    <w:multiLevelType w:val="hybridMultilevel"/>
    <w:lvl w:ilvl="0">
      <w:lvlJc w:val="left"/>
      <w:lvlText w:val="(%1)"/>
      <w:numFmt w:val="decimal"/>
      <w:start w:val="1"/>
    </w:lvl>
  </w:abstractNum>
  <w:abstractNum w:abstractNumId="72">
    <w:nsid w:val="1D9F6E5F"/>
    <w:multiLevelType w:val="hybridMultilevel"/>
    <w:lvl w:ilvl="0">
      <w:lvlJc w:val="left"/>
      <w:lvlText w:val="(%1)"/>
      <w:numFmt w:val="decimal"/>
      <w:start w:val="1"/>
    </w:lvl>
  </w:abstractNum>
  <w:abstractNum w:abstractNumId="73">
    <w:nsid w:val="97E1B4E"/>
    <w:multiLevelType w:val="hybridMultilevel"/>
    <w:lvl w:ilvl="0">
      <w:lvlJc w:val="left"/>
      <w:lvlText w:val="%1"/>
      <w:numFmt w:val="decimal"/>
      <w:start w:val="1"/>
    </w:lvl>
    <w:lvl w:ilvl="1">
      <w:lvlJc w:val="left"/>
      <w:lvlText w:val="(%2)"/>
      <w:numFmt w:val="decimal"/>
      <w:start w:val="1"/>
    </w:lvl>
  </w:abstractNum>
  <w:abstractNum w:abstractNumId="74">
    <w:nsid w:val="51088277"/>
    <w:multiLevelType w:val="hybridMultilevel"/>
    <w:lvl w:ilvl="0">
      <w:lvlJc w:val="left"/>
      <w:lvlText w:val="(%1)"/>
      <w:numFmt w:val="decimal"/>
      <w:start w:val="10"/>
    </w:lvl>
    <w:lvl w:ilvl="1">
      <w:lvlJc w:val="left"/>
      <w:lvlText w:val="%2"/>
      <w:numFmt w:val="decimal"/>
      <w:start w:val="1"/>
    </w:lvl>
  </w:abstractNum>
  <w:abstractNum w:abstractNumId="75">
    <w:nsid w:val="1CA0C5FA"/>
    <w:multiLevelType w:val="hybridMultilevel"/>
    <w:lvl w:ilvl="0">
      <w:lvlJc w:val="left"/>
      <w:lvlText w:val="(%1)"/>
      <w:numFmt w:val="decimal"/>
      <w:start w:val="1"/>
    </w:lvl>
  </w:abstractNum>
  <w:abstractNum w:abstractNumId="76">
    <w:nsid w:val="53584BCB"/>
    <w:multiLevelType w:val="hybridMultilevel"/>
    <w:lvl w:ilvl="0">
      <w:lvlJc w:val="left"/>
      <w:lvlText w:val="(%1)"/>
      <w:numFmt w:val="decimal"/>
      <w:start w:val="12"/>
    </w:lvl>
  </w:abstractNum>
  <w:abstractNum w:abstractNumId="77">
    <w:nsid w:val="415E286C"/>
    <w:multiLevelType w:val="hybridMultilevel"/>
    <w:lvl w:ilvl="0">
      <w:lvlJc w:val="left"/>
      <w:lvlText w:val="(%1)"/>
      <w:numFmt w:val="decimal"/>
      <w:start w:val="1"/>
    </w:lvl>
  </w:abstractNum>
  <w:abstractNum w:abstractNumId="78">
    <w:nsid w:val="7C58FD05"/>
    <w:multiLevelType w:val="hybridMultilevel"/>
    <w:lvl w:ilvl="0">
      <w:lvlJc w:val="left"/>
      <w:lvlText w:val="(%1)"/>
      <w:numFmt w:val="decimal"/>
      <w:start w:val="7"/>
    </w:lvl>
  </w:abstractNum>
  <w:abstractNum w:abstractNumId="79">
    <w:nsid w:val="23D86AAC"/>
    <w:multiLevelType w:val="hybridMultilevel"/>
    <w:lvl w:ilvl="0">
      <w:lvlJc w:val="left"/>
      <w:lvlText w:val="(%1)"/>
      <w:numFmt w:val="decimal"/>
      <w:start w:val="1"/>
    </w:lvl>
  </w:abstractNum>
  <w:abstractNum w:abstractNumId="80">
    <w:nsid w:val="45E6D486"/>
    <w:multiLevelType w:val="hybridMultilevel"/>
    <w:lvl w:ilvl="0">
      <w:lvlJc w:val="left"/>
      <w:lvlText w:val="(%1)"/>
      <w:numFmt w:val="decimal"/>
      <w:start w:val="1"/>
    </w:lvl>
  </w:abstractNum>
  <w:abstractNum w:abstractNumId="81">
    <w:nsid w:val="5C10FE21"/>
    <w:multiLevelType w:val="hybridMultilevel"/>
    <w:lvl w:ilvl="0">
      <w:lvlJc w:val="left"/>
      <w:lvlText w:val="(%1)"/>
      <w:numFmt w:val="decimal"/>
      <w:start w:val="3"/>
    </w:lvl>
  </w:abstractNum>
  <w:abstractNum w:abstractNumId="82">
    <w:nsid w:val="E7FFA2B"/>
    <w:multiLevelType w:val="hybridMultilevel"/>
    <w:lvl w:ilvl="0">
      <w:lvlJc w:val="left"/>
      <w:lvlText w:val="(%1)"/>
      <w:numFmt w:val="decimal"/>
      <w:start w:val="1"/>
    </w:lvl>
  </w:abstractNum>
  <w:abstractNum w:abstractNumId="83">
    <w:nsid w:val="3C5991AA"/>
    <w:multiLevelType w:val="hybridMultilevel"/>
    <w:lvl w:ilvl="0">
      <w:lvlJc w:val="left"/>
      <w:lvlText w:val="(%1)"/>
      <w:numFmt w:val="decimal"/>
      <w:start w:val="1"/>
    </w:lvl>
  </w:abstractNum>
  <w:abstractNum w:abstractNumId="84">
    <w:nsid w:val="4BD8591A"/>
    <w:multiLevelType w:val="hybridMultilevel"/>
    <w:lvl w:ilvl="0">
      <w:lvlJc w:val="left"/>
      <w:lvlText w:val="(%1)"/>
      <w:numFmt w:val="decimal"/>
      <w:start w:val="1"/>
    </w:lvl>
  </w:abstractNum>
  <w:abstractNum w:abstractNumId="85">
    <w:nsid w:val="78DF6A55"/>
    <w:multiLevelType w:val="hybridMultilevel"/>
    <w:lvl w:ilvl="0">
      <w:lvlJc w:val="left"/>
      <w:lvlText w:val="(%1)"/>
      <w:numFmt w:val="decimal"/>
      <w:start w:val="13"/>
    </w:lvl>
  </w:abstractNum>
  <w:abstractNum w:abstractNumId="86">
    <w:nsid w:val="39B7AAA2"/>
    <w:multiLevelType w:val="hybridMultilevel"/>
    <w:lvl w:ilvl="0">
      <w:lvlJc w:val="left"/>
      <w:lvlText w:val="(%1)"/>
      <w:numFmt w:val="decimal"/>
      <w:start w:val="1"/>
    </w:lvl>
  </w:abstractNum>
  <w:abstractNum w:abstractNumId="87">
    <w:nsid w:val="2B0D8DBE"/>
    <w:multiLevelType w:val="hybridMultilevel"/>
    <w:lvl w:ilvl="0">
      <w:lvlJc w:val="left"/>
      <w:lvlText w:val="(%1)"/>
      <w:numFmt w:val="decimal"/>
      <w:start w:val="4"/>
    </w:lvl>
  </w:abstractNum>
  <w:abstractNum w:abstractNumId="88">
    <w:nsid w:val="6C80EC70"/>
    <w:multiLevelType w:val="hybridMultilevel"/>
    <w:lvl w:ilvl="0">
      <w:lvlJc w:val="left"/>
      <w:lvlText w:val="(%1)"/>
      <w:numFmt w:val="decimal"/>
      <w:start w:val="14"/>
    </w:lvl>
    <w:lvl w:ilvl="1">
      <w:lvlJc w:val="left"/>
      <w:lvlText w:val="(%2)"/>
      <w:numFmt w:val="lowerLetter"/>
      <w:start w:val="1"/>
    </w:lvl>
  </w:abstractNum>
  <w:abstractNum w:abstractNumId="89">
    <w:nsid w:val="379E21B5"/>
    <w:multiLevelType w:val="hybridMultilevel"/>
    <w:lvl w:ilvl="0">
      <w:lvlJc w:val="left"/>
      <w:lvlText w:val="(%1)"/>
      <w:numFmt w:val="decimal"/>
      <w:start w:val="1"/>
    </w:lvl>
  </w:abstractNum>
  <w:abstractNum w:abstractNumId="90">
    <w:nsid w:val="69E373"/>
    <w:multiLevelType w:val="hybridMultilevel"/>
    <w:lvl w:ilvl="0">
      <w:lvlJc w:val="left"/>
      <w:lvlText w:val="(%1)"/>
      <w:numFmt w:val="lowerLetter"/>
      <w:start w:val="3"/>
    </w:lvl>
  </w:abstractNum>
  <w:abstractNum w:abstractNumId="91">
    <w:nsid w:val="2C27173B"/>
    <w:multiLevelType w:val="hybridMultilevel"/>
    <w:lvl w:ilvl="0">
      <w:lvlJc w:val="left"/>
      <w:lvlText w:val="(%1)"/>
      <w:numFmt w:val="lowerRoman"/>
      <w:start w:val="1"/>
    </w:lvl>
  </w:abstractNum>
  <w:abstractNum w:abstractNumId="92">
    <w:nsid w:val="4C9B0904"/>
    <w:multiLevelType w:val="hybridMultilevel"/>
    <w:lvl w:ilvl="0">
      <w:lvlJc w:val="left"/>
      <w:lvlText w:val="(%1)"/>
      <w:numFmt w:val="lowerRoman"/>
      <w:start w:val="3"/>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
      <w:numFmt w:val="bullet"/>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1)"/>
      <w:numFmt w:val="decimal"/>
      <w:start w:val="1"/>
    </w:lvl>
  </w:abstractNum>
  <w:abstractNum w:abstractNumId="98">
    <w:nsid w:val="2708C9AF"/>
    <w:multiLevelType w:val="hybridMultilevel"/>
    <w:lvl w:ilvl="0">
      <w:lvlJc w:val="left"/>
      <w:lvlText w:val="(%1)"/>
      <w:numFmt w:val="decimal"/>
      <w:start w:val="1"/>
    </w:lvl>
  </w:abstractNum>
  <w:abstractNum w:abstractNumId="99">
    <w:nsid w:val="5B25ACE2"/>
    <w:multiLevelType w:val="hybridMultilevel"/>
    <w:lvl w:ilvl="0">
      <w:lvlJc w:val="left"/>
      <w:lvlText w:val="(%1)"/>
      <w:numFmt w:val="decimal"/>
      <w:start w:val="1"/>
    </w:lvl>
  </w:abstractNum>
  <w:abstractNum w:abstractNumId="100">
    <w:nsid w:val="175DFCF0"/>
    <w:multiLevelType w:val="hybridMultilevel"/>
    <w:lvl w:ilvl="0">
      <w:lvlJc w:val="left"/>
      <w:lvlText w:val="(%1)"/>
      <w:numFmt w:val="decimal"/>
      <w:start w:val="1"/>
    </w:lvl>
  </w:abstractNum>
  <w:abstractNum w:abstractNumId="101">
    <w:nsid w:val="4F97E3E4"/>
    <w:multiLevelType w:val="hybridMultilevel"/>
    <w:lvl w:ilvl="0">
      <w:lvlJc w:val="left"/>
      <w:lvlText w:val="(%1)"/>
      <w:numFmt w:val="decimal"/>
      <w:start w:val="1"/>
    </w:lvl>
  </w:abstractNum>
  <w:abstractNum w:abstractNumId="102">
    <w:nsid w:val="53B0A9E"/>
    <w:multiLevelType w:val="hybridMultilevel"/>
    <w:lvl w:ilvl="0">
      <w:lvlJc w:val="left"/>
      <w:lvlText w:val="(%1)"/>
      <w:numFmt w:val="decimal"/>
      <w:start w:val="1"/>
    </w:lvl>
  </w:abstractNum>
  <w:abstractNum w:abstractNumId="103">
    <w:nsid w:val="34FD6B4F"/>
    <w:multiLevelType w:val="hybridMultilevel"/>
    <w:lvl w:ilvl="0">
      <w:lvlJc w:val="left"/>
      <w:lvlText w:val="(%1)"/>
      <w:numFmt w:val="decimal"/>
      <w:start w:val="20"/>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emdash "/>
      <w:numFmt w:val="bullet"/>
      <w:start w:val="1"/>
    </w:lvl>
  </w:abstractNum>
  <w:abstractNum w:abstractNumId="106">
    <w:nsid w:val="519E3149"/>
    <w:multiLevelType w:val="hybridMultilevel"/>
    <w:lvl w:ilvl="0">
      <w:lvlJc w:val="left"/>
      <w:lvlText w:val="(%1)"/>
      <w:numFmt w:val="decimal"/>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1)"/>
      <w:numFmt w:val="decimal"/>
      <w:start w:val="1"/>
    </w:lvl>
  </w:abstractNum>
  <w:abstractNum w:abstractNumId="109">
    <w:nsid w:val="4DF72E4E"/>
    <w:multiLevelType w:val="hybridMultilevel"/>
    <w:lvl w:ilvl="0">
      <w:lvlJc w:val="left"/>
      <w:lvlText w:val="(%1)"/>
      <w:numFmt w:val="decimal"/>
      <w:start w:val="1"/>
    </w:lvl>
  </w:abstractNum>
  <w:abstractNum w:abstractNumId="110">
    <w:nsid w:val="5046B5A9"/>
    <w:multiLevelType w:val="hybridMultilevel"/>
    <w:lvl w:ilvl="0">
      <w:lvlJc w:val="left"/>
      <w:lvlText w:val="(%1)"/>
      <w:numFmt w:val="decimal"/>
      <w:start w:val="1"/>
    </w:lvl>
  </w:abstractNum>
  <w:abstractNum w:abstractNumId="111">
    <w:nsid w:val="5D888A08"/>
    <w:multiLevelType w:val="hybridMultilevel"/>
    <w:lvl w:ilvl="0">
      <w:lvlJc w:val="left"/>
      <w:lvlText w:val="(%1)"/>
      <w:numFmt w:val="decimal"/>
      <w:start w:val="1"/>
    </w:lvl>
  </w:abstractNum>
  <w:abstractNum w:abstractNumId="112">
    <w:nsid w:val="2A082C70"/>
    <w:multiLevelType w:val="hybridMultilevel"/>
    <w:lvl w:ilvl="0">
      <w:lvlJc w:val="left"/>
      <w:lvlText w:val="%1"/>
      <w:numFmt w:val="decimal"/>
      <w:start w:val="19"/>
    </w:lvl>
  </w:abstractNum>
  <w:abstractNum w:abstractNumId="113">
    <w:nsid w:val="5EC6AFD4"/>
    <w:multiLevelType w:val="hybridMultilevel"/>
    <w:lvl w:ilvl="0">
      <w:lvlJc w:val="left"/>
      <w:lvlText w:val="(%1)"/>
      <w:numFmt w:val="decimal"/>
      <w:start w:val="1"/>
    </w:lvl>
  </w:abstractNum>
  <w:abstractNum w:abstractNumId="114">
    <w:nsid w:val="19E21BB2"/>
    <w:multiLevelType w:val="hybridMultilevel"/>
    <w:lvl w:ilvl="0">
      <w:lvlJc w:val="left"/>
      <w:lvlText w:val="(%1)"/>
      <w:numFmt w:val="decimal"/>
      <w:start w:val="1"/>
    </w:lvl>
  </w:abstractNum>
  <w:abstractNum w:abstractNumId="115">
    <w:nsid w:val="75E0858A"/>
    <w:multiLevelType w:val="hybridMultilevel"/>
    <w:lvl w:ilvl="0">
      <w:lvlJc w:val="left"/>
      <w:lvlText w:val="%1."/>
      <w:numFmt w:val="decimal"/>
      <w:start w:val="1"/>
    </w:lvl>
  </w:abstractNum>
  <w:abstractNum w:abstractNumId="116">
    <w:nsid w:val="57A61A29"/>
    <w:multiLevelType w:val="hybridMultilevel"/>
    <w:lvl w:ilvl="0">
      <w:lvlJc w:val="left"/>
      <w:lvlText w:val="(%1)"/>
      <w:numFmt w:val="lowerLetter"/>
      <w:start w:val="1"/>
    </w:lvl>
  </w:abstractNum>
  <w:abstractNum w:abstractNumId="117">
    <w:nsid w:val="5399C654"/>
    <w:multiLevelType w:val="hybridMultilevel"/>
    <w:lvl w:ilvl="0">
      <w:lvlJc w:val="left"/>
      <w:lvlText w:val="%1."/>
      <w:numFmt w:val="decimal"/>
      <w:start w:val="5"/>
    </w:lvl>
  </w:abstractNum>
  <w:abstractNum w:abstractNumId="118">
    <w:nsid w:val="20EE1348"/>
    <w:multiLevelType w:val="hybridMultilevel"/>
    <w:lvl w:ilvl="0">
      <w:lvlJc w:val="left"/>
      <w:lvlText w:val="(%1)"/>
      <w:numFmt w:val="lowerLetter"/>
      <w:start w:val="1"/>
    </w:lvl>
  </w:abstractNum>
  <w:abstractNum w:abstractNumId="119">
    <w:nsid w:val="4427069A"/>
    <w:multiLevelType w:val="hybridMultilevel"/>
    <w:lvl w:ilvl="0">
      <w:lvlJc w:val="left"/>
      <w:lvlText w:val="%1."/>
      <w:numFmt w:val="decimal"/>
      <w:start w:val="1"/>
    </w:lvl>
  </w:abstractNum>
  <w:abstractNum w:abstractNumId="120">
    <w:nsid w:val="B37E80A"/>
    <w:multiLevelType w:val="hybridMultilevel"/>
    <w:lvl w:ilvl="0">
      <w:lvlJc w:val="left"/>
      <w:lvlText w:val="(%1)"/>
      <w:numFmt w:val="lowerLetter"/>
      <w:start w:val="1"/>
    </w:lvl>
  </w:abstractNum>
  <w:abstractNum w:abstractNumId="121">
    <w:nsid w:val="2157F6BC"/>
    <w:multiLevelType w:val="hybridMultilevel"/>
    <w:lvl w:ilvl="0">
      <w:lvlJc w:val="left"/>
      <w:lvlText w:val="%1."/>
      <w:numFmt w:val="decimal"/>
      <w:start w:val="5"/>
    </w:lvl>
  </w:abstractNum>
  <w:abstractNum w:abstractNumId="122">
    <w:nsid w:val="704E1DD5"/>
    <w:multiLevelType w:val="hybridMultilevel"/>
    <w:lvl w:ilvl="0">
      <w:lvlJc w:val="left"/>
      <w:lvlText w:val="(%1)"/>
      <w:numFmt w:val="lowerLetter"/>
      <w:start w:val="1"/>
    </w:lvl>
  </w:abstractNum>
  <w:abstractNum w:abstractNumId="123">
    <w:nsid w:val="57D2F10E"/>
    <w:multiLevelType w:val="hybridMultilevel"/>
    <w:lvl w:ilvl="0">
      <w:lvlJc w:val="left"/>
      <w:lvlText w:val="%1."/>
      <w:numFmt w:val="decimal"/>
      <w:start w:val="1"/>
    </w:lvl>
  </w:abstractNum>
  <w:abstractNum w:abstractNumId="124">
    <w:nsid w:val="BFFAE18"/>
    <w:multiLevelType w:val="hybridMultilevel"/>
    <w:lvl w:ilvl="0">
      <w:lvlJc w:val="left"/>
      <w:lvlText w:val="(%1)"/>
      <w:numFmt w:val="lowerLetter"/>
      <w:start w:val="1"/>
    </w:lvl>
  </w:abstractNum>
  <w:abstractNum w:abstractNumId="125">
    <w:nsid w:val="E3E47A8"/>
    <w:multiLevelType w:val="hybridMultilevel"/>
    <w:lvl w:ilvl="0">
      <w:lvlJc w:val="left"/>
      <w:lvlText w:val="%1."/>
      <w:numFmt w:val="decimal"/>
      <w:start w:val="5"/>
    </w:lvl>
  </w:abstractNum>
  <w:abstractNum w:abstractNumId="126">
    <w:nsid w:val="2E48F044"/>
    <w:multiLevelType w:val="hybridMultilevel"/>
    <w:lvl w:ilvl="0">
      <w:lvlJc w:val="left"/>
      <w:lvlText w:val="(%1)"/>
      <w:numFmt w:val="lowerLetter"/>
      <w:start w:val="1"/>
    </w:lvl>
  </w:abstractNum>
  <w:abstractNum w:abstractNumId="127">
    <w:nsid w:val="49D0FEAC"/>
    <w:multiLevelType w:val="hybridMultilevel"/>
    <w:lvl w:ilvl="0">
      <w:lvlJc w:val="left"/>
      <w:lvlText w:val="%1."/>
      <w:numFmt w:val="decimal"/>
      <w:start w:val="1"/>
    </w:lvl>
  </w:abstractNum>
  <w:abstractNum w:abstractNumId="128">
    <w:nsid w:val="4BEE5A5B"/>
    <w:multiLevelType w:val="hybridMultilevel"/>
    <w:lvl w:ilvl="0">
      <w:lvlJc w:val="left"/>
      <w:lvlText w:val="(%1)"/>
      <w:numFmt w:val="lowerLetter"/>
      <w:start w:val="1"/>
    </w:lvl>
  </w:abstractNum>
  <w:abstractNum w:abstractNumId="129">
    <w:nsid w:val="5551B9F3"/>
    <w:multiLevelType w:val="hybridMultilevel"/>
    <w:lvl w:ilvl="0">
      <w:lvlJc w:val="left"/>
      <w:lvlText w:val="%1."/>
      <w:numFmt w:val="decimal"/>
      <w:start w:val="5"/>
    </w:lvl>
  </w:abstractNum>
  <w:abstractNum w:abstractNumId="130">
    <w:nsid w:val="24F6AB8E"/>
    <w:multiLevelType w:val="hybridMultilevel"/>
    <w:lvl w:ilvl="0">
      <w:lvlJc w:val="left"/>
      <w:lvlText w:val="(%1)"/>
      <w:numFmt w:val="lowerLetter"/>
      <w:start w:val="1"/>
    </w:lvl>
  </w:abstractNum>
  <w:abstractNum w:abstractNumId="131">
    <w:nsid w:val="634C574C"/>
    <w:multiLevelType w:val="hybridMultilevel"/>
    <w:lvl w:ilvl="0">
      <w:lvlJc w:val="left"/>
      <w:lvlText w:val="%1."/>
      <w:numFmt w:val="decimal"/>
      <w:start w:val="1"/>
    </w:lvl>
  </w:abstractNum>
  <w:abstractNum w:abstractNumId="132">
    <w:nsid w:val="24E99DD7"/>
    <w:multiLevelType w:val="hybridMultilevel"/>
    <w:lvl w:ilvl="0">
      <w:lvlJc w:val="left"/>
      <w:lvlText w:val="(%1)"/>
      <w:numFmt w:val="lowerLetter"/>
      <w:start w:val="1"/>
    </w:lvl>
  </w:abstractNum>
  <w:abstractNum w:abstractNumId="133">
    <w:nsid w:val="2A31B62D"/>
    <w:multiLevelType w:val="hybridMultilevel"/>
    <w:lvl w:ilvl="0">
      <w:lvlJc w:val="left"/>
      <w:lvlText w:val="%1."/>
      <w:numFmt w:val="decimal"/>
      <w:start w:val="5"/>
    </w:lvl>
  </w:abstractNum>
  <w:abstractNum w:abstractNumId="134">
    <w:nsid w:val="1849C29B"/>
    <w:multiLevelType w:val="hybridMultilevel"/>
    <w:lvl w:ilvl="0">
      <w:lvlJc w:val="left"/>
      <w:lvlText w:val="(%1)"/>
      <w:numFmt w:val="lowerLetter"/>
      <w:start w:val="1"/>
    </w:lvl>
  </w:abstractNum>
  <w:abstractNum w:abstractNumId="135">
    <w:nsid w:val="7DFF9D09"/>
    <w:multiLevelType w:val="hybridMultilevel"/>
    <w:lvl w:ilvl="0">
      <w:lvlJc w:val="left"/>
      <w:lvlText w:val="%1."/>
      <w:numFmt w:val="decimal"/>
      <w:start w:val="1"/>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decimal"/>
      <w:start w:val="5"/>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decimal"/>
      <w:start w:val="1"/>
    </w:lvl>
  </w:abstractNum>
  <w:abstractNum w:abstractNumId="140">
    <w:nsid w:val="37DF2233"/>
    <w:multiLevelType w:val="hybridMultilevel"/>
    <w:lvl w:ilvl="0">
      <w:lvlJc w:val="left"/>
      <w:lvlText w:val="%1."/>
      <w:numFmt w:val="decimal"/>
      <w:start w:val="1"/>
    </w:lvl>
  </w:abstractNum>
  <w:abstractNum w:abstractNumId="141">
    <w:nsid w:val="7AB49DAF"/>
    <w:multiLevelType w:val="hybridMultilevel"/>
    <w:lvl w:ilvl="0">
      <w:lvlJc w:val="left"/>
      <w:lvlText w:val="%1."/>
      <w:numFmt w:val="decimal"/>
      <w:start w:val="1"/>
    </w:lvl>
  </w:abstractNum>
  <w:abstractNum w:abstractNumId="142">
    <w:nsid w:val="759F82CD"/>
    <w:multiLevelType w:val="hybridMultilevel"/>
    <w:lvl w:ilvl="0">
      <w:lvlJc w:val="left"/>
      <w:lvlText w:val="%1."/>
      <w:numFmt w:val="decimal"/>
      <w:start w:val="1"/>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30"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87" Type="http://schemas.openxmlformats.org/officeDocument/2006/relationships/image" Target="media/image224.png"/><Relationship Id="rId288" Type="http://schemas.openxmlformats.org/officeDocument/2006/relationships/image" Target="media/image225.png"/><Relationship Id="rId297" Type="http://schemas.openxmlformats.org/officeDocument/2006/relationships/image" Target="media/image226.png"/><Relationship Id="rId300" Type="http://schemas.openxmlformats.org/officeDocument/2006/relationships/image" Target="media/image227.png"/><Relationship Id="rId310" Type="http://schemas.openxmlformats.org/officeDocument/2006/relationships/image" Target="media/image228.png"/><Relationship Id="rId311" Type="http://schemas.openxmlformats.org/officeDocument/2006/relationships/image" Target="media/image229.png"/><Relationship Id="rId319" Type="http://schemas.openxmlformats.org/officeDocument/2006/relationships/image" Target="media/image230.png"/><Relationship Id="rId320" Type="http://schemas.openxmlformats.org/officeDocument/2006/relationships/image" Target="media/image231.png"/><Relationship Id="rId329" Type="http://schemas.openxmlformats.org/officeDocument/2006/relationships/image" Target="media/image232.png"/><Relationship Id="rId339" Type="http://schemas.openxmlformats.org/officeDocument/2006/relationships/image" Target="media/image233.png"/><Relationship Id="rId348" Type="http://schemas.openxmlformats.org/officeDocument/2006/relationships/image" Target="media/image234.png"/><Relationship Id="rId349" Type="http://schemas.openxmlformats.org/officeDocument/2006/relationships/image" Target="media/image235.png"/><Relationship Id="rId359" Type="http://schemas.openxmlformats.org/officeDocument/2006/relationships/image" Target="media/image236.png"/><Relationship Id="rId360" Type="http://schemas.openxmlformats.org/officeDocument/2006/relationships/image" Target="media/image237.png"/><Relationship Id="rId374" Type="http://schemas.openxmlformats.org/officeDocument/2006/relationships/image" Target="media/image238.png"/><Relationship Id="rId375" Type="http://schemas.openxmlformats.org/officeDocument/2006/relationships/image" Target="media/image239.png"/><Relationship Id="rId389" Type="http://schemas.openxmlformats.org/officeDocument/2006/relationships/image" Target="media/image240.png"/><Relationship Id="rId390" Type="http://schemas.openxmlformats.org/officeDocument/2006/relationships/image" Target="media/image241.png"/><Relationship Id="rId404" Type="http://schemas.openxmlformats.org/officeDocument/2006/relationships/image" Target="media/image242.png"/><Relationship Id="rId418" Type="http://schemas.openxmlformats.org/officeDocument/2006/relationships/image" Target="media/image243.png"/><Relationship Id="rId419" Type="http://schemas.openxmlformats.org/officeDocument/2006/relationships/image" Target="media/image244.png"/><Relationship Id="rId431" Type="http://schemas.openxmlformats.org/officeDocument/2006/relationships/image" Target="media/image245.png"/><Relationship Id="rId432" Type="http://schemas.openxmlformats.org/officeDocument/2006/relationships/image" Target="media/image246.png"/><Relationship Id="rId442" Type="http://schemas.openxmlformats.org/officeDocument/2006/relationships/image" Target="media/image247.png"/><Relationship Id="rId451" Type="http://schemas.openxmlformats.org/officeDocument/2006/relationships/image" Target="media/image248.png"/><Relationship Id="rId460" Type="http://schemas.openxmlformats.org/officeDocument/2006/relationships/image" Target="media/image249.png"/><Relationship Id="rId461" Type="http://schemas.openxmlformats.org/officeDocument/2006/relationships/image" Target="media/image250.png"/><Relationship Id="rId462" Type="http://schemas.openxmlformats.org/officeDocument/2006/relationships/image" Target="media/image251.png"/><Relationship Id="rId463" Type="http://schemas.openxmlformats.org/officeDocument/2006/relationships/image" Target="media/image252.png"/><Relationship Id="rId464" Type="http://schemas.openxmlformats.org/officeDocument/2006/relationships/image" Target="media/image253.png"/><Relationship Id="rId465" Type="http://schemas.openxmlformats.org/officeDocument/2006/relationships/image" Target="media/image254.png"/><Relationship Id="rId466" Type="http://schemas.openxmlformats.org/officeDocument/2006/relationships/image" Target="media/image255.png"/><Relationship Id="rId467" Type="http://schemas.openxmlformats.org/officeDocument/2006/relationships/image" Target="media/image256.png"/><Relationship Id="rId468" Type="http://schemas.openxmlformats.org/officeDocument/2006/relationships/image" Target="media/image257.png"/><Relationship Id="rId469" Type="http://schemas.openxmlformats.org/officeDocument/2006/relationships/image" Target="media/image258.png"/><Relationship Id="rId470" Type="http://schemas.openxmlformats.org/officeDocument/2006/relationships/image" Target="media/image259.png"/><Relationship Id="rId471" Type="http://schemas.openxmlformats.org/officeDocument/2006/relationships/image" Target="media/image260.png"/><Relationship Id="rId472" Type="http://schemas.openxmlformats.org/officeDocument/2006/relationships/image" Target="media/image261.png"/><Relationship Id="rId473" Type="http://schemas.openxmlformats.org/officeDocument/2006/relationships/image" Target="media/image262.png"/><Relationship Id="rId474" Type="http://schemas.openxmlformats.org/officeDocument/2006/relationships/image" Target="media/image263.png"/><Relationship Id="rId475" Type="http://schemas.openxmlformats.org/officeDocument/2006/relationships/image" Target="media/image264.png"/><Relationship Id="rId476" Type="http://schemas.openxmlformats.org/officeDocument/2006/relationships/image" Target="media/image265.png"/><Relationship Id="rId477" Type="http://schemas.openxmlformats.org/officeDocument/2006/relationships/image" Target="media/image266.png"/><Relationship Id="rId478" Type="http://schemas.openxmlformats.org/officeDocument/2006/relationships/image" Target="media/image267.png"/><Relationship Id="rId479" Type="http://schemas.openxmlformats.org/officeDocument/2006/relationships/image" Target="media/image268.png"/><Relationship Id="rId480" Type="http://schemas.openxmlformats.org/officeDocument/2006/relationships/image" Target="media/image269.png"/><Relationship Id="rId481" Type="http://schemas.openxmlformats.org/officeDocument/2006/relationships/image" Target="media/image270.png"/><Relationship Id="rId482" Type="http://schemas.openxmlformats.org/officeDocument/2006/relationships/image" Target="media/image271.png"/><Relationship Id="rId483" Type="http://schemas.openxmlformats.org/officeDocument/2006/relationships/image" Target="media/image272.png"/><Relationship Id="rId484" Type="http://schemas.openxmlformats.org/officeDocument/2006/relationships/image" Target="media/image273.png"/><Relationship Id="rId485" Type="http://schemas.openxmlformats.org/officeDocument/2006/relationships/image" Target="media/image274.png"/><Relationship Id="rId486" Type="http://schemas.openxmlformats.org/officeDocument/2006/relationships/image" Target="media/image275.png"/><Relationship Id="rId487" Type="http://schemas.openxmlformats.org/officeDocument/2006/relationships/image" Target="media/image276.png"/><Relationship Id="rId488" Type="http://schemas.openxmlformats.org/officeDocument/2006/relationships/image" Target="media/image277.png"/><Relationship Id="rId489" Type="http://schemas.openxmlformats.org/officeDocument/2006/relationships/image" Target="media/image278.png"/><Relationship Id="rId490" Type="http://schemas.openxmlformats.org/officeDocument/2006/relationships/image" Target="media/image279.png"/><Relationship Id="rId491" Type="http://schemas.openxmlformats.org/officeDocument/2006/relationships/image" Target="media/image280.png"/><Relationship Id="rId492" Type="http://schemas.openxmlformats.org/officeDocument/2006/relationships/image" Target="media/image281.png"/><Relationship Id="rId493" Type="http://schemas.openxmlformats.org/officeDocument/2006/relationships/image" Target="media/image282.png"/><Relationship Id="rId494" Type="http://schemas.openxmlformats.org/officeDocument/2006/relationships/image" Target="media/image283.png"/><Relationship Id="rId495" Type="http://schemas.openxmlformats.org/officeDocument/2006/relationships/image" Target="media/image284.png"/><Relationship Id="rId496" Type="http://schemas.openxmlformats.org/officeDocument/2006/relationships/image" Target="media/image285.png"/><Relationship Id="rId497" Type="http://schemas.openxmlformats.org/officeDocument/2006/relationships/image" Target="media/image286.png"/><Relationship Id="rId498" Type="http://schemas.openxmlformats.org/officeDocument/2006/relationships/image" Target="media/image287.png"/><Relationship Id="rId499" Type="http://schemas.openxmlformats.org/officeDocument/2006/relationships/image" Target="media/image288.png"/><Relationship Id="rId500" Type="http://schemas.openxmlformats.org/officeDocument/2006/relationships/image" Target="media/image289.png"/><Relationship Id="rId501" Type="http://schemas.openxmlformats.org/officeDocument/2006/relationships/image" Target="media/image290.png"/><Relationship Id="rId502" Type="http://schemas.openxmlformats.org/officeDocument/2006/relationships/image" Target="media/image291.png"/><Relationship Id="rId503" Type="http://schemas.openxmlformats.org/officeDocument/2006/relationships/image" Target="media/image292.png"/><Relationship Id="rId504" Type="http://schemas.openxmlformats.org/officeDocument/2006/relationships/image" Target="media/image293.png"/><Relationship Id="rId505" Type="http://schemas.openxmlformats.org/officeDocument/2006/relationships/image" Target="media/image294.png"/><Relationship Id="rId506" Type="http://schemas.openxmlformats.org/officeDocument/2006/relationships/image" Target="media/image295.png"/><Relationship Id="rId507" Type="http://schemas.openxmlformats.org/officeDocument/2006/relationships/image" Target="media/image296.png"/><Relationship Id="rId508" Type="http://schemas.openxmlformats.org/officeDocument/2006/relationships/image" Target="media/image297.png"/><Relationship Id="rId509" Type="http://schemas.openxmlformats.org/officeDocument/2006/relationships/image" Target="media/image298.png"/><Relationship Id="rId510" Type="http://schemas.openxmlformats.org/officeDocument/2006/relationships/image" Target="media/image299.png"/><Relationship Id="rId511" Type="http://schemas.openxmlformats.org/officeDocument/2006/relationships/image" Target="media/image300.png"/><Relationship Id="rId512" Type="http://schemas.openxmlformats.org/officeDocument/2006/relationships/image" Target="media/image301.png"/><Relationship Id="rId513" Type="http://schemas.openxmlformats.org/officeDocument/2006/relationships/image" Target="media/image302.png"/><Relationship Id="rId514" Type="http://schemas.openxmlformats.org/officeDocument/2006/relationships/image" Target="media/image303.png"/><Relationship Id="rId515" Type="http://schemas.openxmlformats.org/officeDocument/2006/relationships/image" Target="media/image304.png"/><Relationship Id="rId516" Type="http://schemas.openxmlformats.org/officeDocument/2006/relationships/image" Target="media/image305.png"/><Relationship Id="rId517" Type="http://schemas.openxmlformats.org/officeDocument/2006/relationships/image" Target="media/image306.png"/><Relationship Id="rId518" Type="http://schemas.openxmlformats.org/officeDocument/2006/relationships/image" Target="media/image307.png"/><Relationship Id="rId519" Type="http://schemas.openxmlformats.org/officeDocument/2006/relationships/image" Target="media/image308.png"/><Relationship Id="rId520" Type="http://schemas.openxmlformats.org/officeDocument/2006/relationships/image" Target="media/image309.png"/><Relationship Id="rId521" Type="http://schemas.openxmlformats.org/officeDocument/2006/relationships/image" Target="media/image310.png"/><Relationship Id="rId522" Type="http://schemas.openxmlformats.org/officeDocument/2006/relationships/image" Target="media/image311.png"/><Relationship Id="rId523" Type="http://schemas.openxmlformats.org/officeDocument/2006/relationships/image" Target="media/image312.png"/><Relationship Id="rId524" Type="http://schemas.openxmlformats.org/officeDocument/2006/relationships/image" Target="media/image313.png"/><Relationship Id="rId525" Type="http://schemas.openxmlformats.org/officeDocument/2006/relationships/image" Target="media/image314.png"/><Relationship Id="rId526" Type="http://schemas.openxmlformats.org/officeDocument/2006/relationships/image" Target="media/image315.png"/><Relationship Id="rId527" Type="http://schemas.openxmlformats.org/officeDocument/2006/relationships/image" Target="media/image316.png"/><Relationship Id="rId528" Type="http://schemas.openxmlformats.org/officeDocument/2006/relationships/image" Target="media/image317.png"/><Relationship Id="rId529" Type="http://schemas.openxmlformats.org/officeDocument/2006/relationships/image" Target="media/image318.png"/><Relationship Id="rId530" Type="http://schemas.openxmlformats.org/officeDocument/2006/relationships/image" Target="media/image319.png"/><Relationship Id="rId531" Type="http://schemas.openxmlformats.org/officeDocument/2006/relationships/image" Target="media/image320.png"/><Relationship Id="rId532" Type="http://schemas.openxmlformats.org/officeDocument/2006/relationships/image" Target="media/image321.png"/><Relationship Id="rId533" Type="http://schemas.openxmlformats.org/officeDocument/2006/relationships/image" Target="media/image322.png"/><Relationship Id="rId534" Type="http://schemas.openxmlformats.org/officeDocument/2006/relationships/image" Target="media/image323.png"/><Relationship Id="rId535" Type="http://schemas.openxmlformats.org/officeDocument/2006/relationships/image" Target="media/image324.png"/><Relationship Id="rId536" Type="http://schemas.openxmlformats.org/officeDocument/2006/relationships/image" Target="media/image325.png"/><Relationship Id="rId537" Type="http://schemas.openxmlformats.org/officeDocument/2006/relationships/image" Target="media/image326.png"/><Relationship Id="rId538" Type="http://schemas.openxmlformats.org/officeDocument/2006/relationships/image" Target="media/image327.png"/><Relationship Id="rId539" Type="http://schemas.openxmlformats.org/officeDocument/2006/relationships/image" Target="media/image328.png"/><Relationship Id="rId540" Type="http://schemas.openxmlformats.org/officeDocument/2006/relationships/image" Target="media/image329.png"/><Relationship Id="rId541" Type="http://schemas.openxmlformats.org/officeDocument/2006/relationships/image" Target="media/image330.png"/><Relationship Id="rId542" Type="http://schemas.openxmlformats.org/officeDocument/2006/relationships/image" Target="media/image331.png"/><Relationship Id="rId543" Type="http://schemas.openxmlformats.org/officeDocument/2006/relationships/image" Target="media/image332.png"/><Relationship Id="rId544" Type="http://schemas.openxmlformats.org/officeDocument/2006/relationships/image" Target="media/image333.png"/><Relationship Id="rId545" Type="http://schemas.openxmlformats.org/officeDocument/2006/relationships/image" Target="media/image334.png"/><Relationship Id="rId546" Type="http://schemas.openxmlformats.org/officeDocument/2006/relationships/image" Target="media/image335.png"/><Relationship Id="rId547" Type="http://schemas.openxmlformats.org/officeDocument/2006/relationships/image" Target="media/image336.png"/><Relationship Id="rId548" Type="http://schemas.openxmlformats.org/officeDocument/2006/relationships/image" Target="media/image337.png"/><Relationship Id="rId549" Type="http://schemas.openxmlformats.org/officeDocument/2006/relationships/image" Target="media/image338.png"/><Relationship Id="rId550" Type="http://schemas.openxmlformats.org/officeDocument/2006/relationships/image" Target="media/image339.png"/><Relationship Id="rId222" Type="http://schemas.openxmlformats.org/officeDocument/2006/relationships/hyperlink" Target="https://www.sec.gov/Archives/edgar/data/1130310/000113031021000024/exhibit24cerc-assetpurchas.htm" TargetMode="External"/><Relationship Id="rId223" Type="http://schemas.openxmlformats.org/officeDocument/2006/relationships/hyperlink" Target="https://www.sec.gov/ix?doc=/Archives/edgar/data/0001130310/000119312524039277/d794478d8k.htm" TargetMode="External"/><Relationship Id="rId224" Type="http://schemas.openxmlformats.org/officeDocument/2006/relationships/hyperlink" Target="https://www.sec.gov/Archives/edgar/data/1130310/000119312525245197/d921256dex21.htm" TargetMode="External"/><Relationship Id="rId225" Type="http://schemas.openxmlformats.org/officeDocument/2006/relationships/hyperlink" Target="https://www.sec.gov/Archives/edgar/data/1130310/000113031008000004/ex3-2.htm" TargetMode="External"/><Relationship Id="rId226" Type="http://schemas.openxmlformats.org/officeDocument/2006/relationships/hyperlink" Target="https://www.sec.gov/Archives/edgar/data/48732/000113031011000048/ex3-1.htm" TargetMode="External"/><Relationship Id="rId227" Type="http://schemas.openxmlformats.org/officeDocument/2006/relationships/hyperlink" Target="https://www.sec.gov/Archives/edgar/data/1042773/0000950129-98-001585.txt" TargetMode="External"/><Relationship Id="rId228" Type="http://schemas.openxmlformats.org/officeDocument/2006/relationships/hyperlink" Target="https://www.sec.gov/Archives/edgar/data/48732/0000950129-99-001059.txt" TargetMode="External"/><Relationship Id="rId229" Type="http://schemas.openxmlformats.org/officeDocument/2006/relationships/hyperlink" Target="https://www.sec.gov/Archives/edgar/data/1042773/000095012903004183/h07971exv3wa4.txt" TargetMode="External"/><Relationship Id="rId231" Type="http://schemas.openxmlformats.org/officeDocument/2006/relationships/hyperlink" Target="https://www.sec.gov/Archives/edgar/data/1130310/000113031025000122/a250925fifthamendedandre.htm" TargetMode="External"/><Relationship Id="rId232" Type="http://schemas.openxmlformats.org/officeDocument/2006/relationships/hyperlink" Target="https://www.sec.gov/Archives/edgar/data/48732/000113031011000048/ex3-2.htm" TargetMode="External"/><Relationship Id="rId233" Type="http://schemas.openxmlformats.org/officeDocument/2006/relationships/hyperlink" Target="https://www.sec.gov/Archives/edgar/data/1130310/000113031012000011/exhibit3c.htm" TargetMode="External"/><Relationship Id="rId234" Type="http://schemas.openxmlformats.org/officeDocument/2006/relationships/hyperlink" Target="https://www.sec.gov/Archives/edgar/data/1130310/000095012901503771/h90625a1ex4-1.txt" TargetMode="External"/><Relationship Id="rId237" Type="http://schemas.openxmlformats.org/officeDocument/2006/relationships/hyperlink" Target="https://www.sec.gov/Archives/edgar/data/48732/000095012902005703/h01010exv4wj1.txt" TargetMode="External"/><Relationship Id="rId238" Type="http://schemas.openxmlformats.org/officeDocument/2006/relationships/hyperlink" Target="https://www.sec.gov/Archives/edgar/data/48732/000095012902005703/h01010exv4wj4.txt" TargetMode="External"/><Relationship Id="rId239" Type="http://schemas.openxmlformats.org/officeDocument/2006/relationships/hyperlink" Target="https://www.sec.gov/Archives/edgar/data/1130310/000095012904001267/h13311exv4we10.txt" TargetMode="External"/><Relationship Id="rId240" Type="http://schemas.openxmlformats.org/officeDocument/2006/relationships/hyperlink" Target="https://www.sec.gov/Archives/edgar/data/1130310/000095012903001299/h03755exv4we10.txt" TargetMode="External"/><Relationship Id="rId241" Type="http://schemas.openxmlformats.org/officeDocument/2006/relationships/hyperlink" Target="https://www.sec.gov/Archives/edgar/data/48732/000089924303000682/dex41.txt" TargetMode="External"/><Relationship Id="rId242" Type="http://schemas.openxmlformats.org/officeDocument/2006/relationships/hyperlink" Target="https://www.sec.gov/Archives/edgar/data/48732/000089924303000682/dex42.txt" TargetMode="External"/><Relationship Id="rId243" Type="http://schemas.openxmlformats.org/officeDocument/2006/relationships/hyperlink" Target="https://www.sec.gov/Archives/edgar/data/48732/000095013409000323/h65378exv4w2.htm" TargetMode="External"/><Relationship Id="rId244" Type="http://schemas.openxmlformats.org/officeDocument/2006/relationships/hyperlink" Target="https://www.sec.gov/Archives/edgar/data/1130310/000113031013000006/cnp_exhibit4e33x12312012.htm" TargetMode="External"/><Relationship Id="rId245" Type="http://schemas.openxmlformats.org/officeDocument/2006/relationships/hyperlink" Target="https://www.sec.gov/Archives/edgar/data/1130310/000113031013000006/cnp_exhibit4e34x12312012.htm" TargetMode="External"/><Relationship Id="rId246" Type="http://schemas.openxmlformats.org/officeDocument/2006/relationships/hyperlink" Target="https://www.sec.gov/Archives/edgar/data/1130310/000113031014000011/cnp_exhibit410x3312014.htm" TargetMode="External"/><Relationship Id="rId249" Type="http://schemas.openxmlformats.org/officeDocument/2006/relationships/hyperlink" Target="https://www.sec.gov/Archives/edgar/data/1130310/000113031014000011/cnp_exhibit411x3312014.htm" TargetMode="External"/><Relationship Id="rId250" Type="http://schemas.openxmlformats.org/officeDocument/2006/relationships/hyperlink" Target="https://www.sec.gov/Archives/edgar/data/1130310/000113031016000055/cnp_exhibit45x9302016.htm" TargetMode="External"/><Relationship Id="rId251" Type="http://schemas.openxmlformats.org/officeDocument/2006/relationships/hyperlink" Target="https://www.sec.gov/Archives/edgar/data/1130310/000113031016000055/cnp_exhibit46x9302016.htm" TargetMode="External"/><Relationship Id="rId252" Type="http://schemas.openxmlformats.org/officeDocument/2006/relationships/hyperlink" Target="https://www.sec.gov/Archives/edgar/data/1130310/000113031017000006/cnp_exhibit4e41x12312016.htm" TargetMode="External"/><Relationship Id="rId253" Type="http://schemas.openxmlformats.org/officeDocument/2006/relationships/hyperlink" Target="https://www.sec.gov/Archives/edgar/data/1130310/000113031017000006/cnp_exhibit4e42x12312016.htm" TargetMode="External"/><Relationship Id="rId254" Type="http://schemas.openxmlformats.org/officeDocument/2006/relationships/hyperlink" Target="https://www.sec.gov/Archives/edgar/data/1130310/000113031018000012/cnp_exhibit49x3312018.htm" TargetMode="External"/><Relationship Id="rId255" Type="http://schemas.openxmlformats.org/officeDocument/2006/relationships/hyperlink" Target="https://www.sec.gov/Archives/edgar/data/1130310/000113031018000012/cnp_exhibit410x3312018.htm" TargetMode="External"/><Relationship Id="rId256" Type="http://schemas.openxmlformats.org/officeDocument/2006/relationships/hyperlink" Target="https://www.sec.gov/Archives/edgar/data/48732/000119312519007474/d678168dex44.htm" TargetMode="External"/><Relationship Id="rId257" Type="http://schemas.openxmlformats.org/officeDocument/2006/relationships/hyperlink" Target="https://www.sec.gov/Archives/edgar/data/48732/000113031019000016/cehe_exhibit4h24.htm" TargetMode="External"/><Relationship Id="rId258" Type="http://schemas.openxmlformats.org/officeDocument/2006/relationships/hyperlink" Target="https://www.sec.gov/Archives/edgar/data/48732/000119312520159544/d880209dex44.htm" TargetMode="External"/><Relationship Id="rId259" Type="http://schemas.openxmlformats.org/officeDocument/2006/relationships/hyperlink" Target="https://www.sec.gov/Archives/edgar/data/48732/000113031020000084/exhibit426ceheofficers.htm" TargetMode="External"/><Relationship Id="rId260" Type="http://schemas.openxmlformats.org/officeDocument/2006/relationships/hyperlink" Target="https://www.sec.gov/Archives/edgar/data/48732/000119312521074944/d133333dex44.htm" TargetMode="External"/><Relationship Id="rId263" Type="http://schemas.openxmlformats.org/officeDocument/2006/relationships/hyperlink" Target="https://www.sec.gov/Archives/edgar/data/48732/000113031021000024/exhibit422-cehexofficersce.htm" TargetMode="External"/><Relationship Id="rId264" Type="http://schemas.openxmlformats.org/officeDocument/2006/relationships/hyperlink" Target="https://www.sec.gov/Archives/edgar/data/48732/000119312522052201/d677233dex44.htm" TargetMode="External"/><Relationship Id="rId265" Type="http://schemas.openxmlformats.org/officeDocument/2006/relationships/hyperlink" Target="https://www.sec.gov/Archives/edgar/data/1130310/000113031022000063/exhibit411officerscertific.htm" TargetMode="External"/><Relationship Id="rId266" Type="http://schemas.openxmlformats.org/officeDocument/2006/relationships/hyperlink" Target="https://www.sec.gov/Archives/edgar/data/48732/000119312522243749/d393587dex44.htm" TargetMode="External"/><Relationship Id="rId267" Type="http://schemas.openxmlformats.org/officeDocument/2006/relationships/hyperlink" Target="https://www.sec.gov/Archives/edgar/data/1130310/000113031022000123/ex47officerscertificate.htm" TargetMode="External"/><Relationship Id="rId268" Type="http://schemas.openxmlformats.org/officeDocument/2006/relationships/hyperlink" Target="https://www.sec.gov/Archives/edgar/data/48732/000119312523075856/d438705dex44.htm" TargetMode="External"/><Relationship Id="rId269" Type="http://schemas.openxmlformats.org/officeDocument/2006/relationships/hyperlink" Target="https://www.sec.gov/Archives/edgar/data/1130310/000113031023000061/exhibit411-officerscertifi.htm" TargetMode="External"/><Relationship Id="rId270" Type="http://schemas.openxmlformats.org/officeDocument/2006/relationships/hyperlink" Target="https://www.sec.gov/Archives/edgar/data/48732/000119312523235398/d481482dex44.htm" TargetMode="External"/><Relationship Id="rId271" Type="http://schemas.openxmlformats.org/officeDocument/2006/relationships/hyperlink" Target="https://www.sec.gov/Archives/edgar/data/1130310/000113031023000146/exhibit49officerscertifica.htm" TargetMode="External"/><Relationship Id="rId272" Type="http://schemas.openxmlformats.org/officeDocument/2006/relationships/hyperlink" Target="https://www.sec.gov/ix?doc=/Archives/edgar/data/48732/000119312524048049/d773950d8k.htm" TargetMode="External"/><Relationship Id="rId273" Type="http://schemas.openxmlformats.org/officeDocument/2006/relationships/hyperlink" Target="https://www.sec.gov/Archives/edgar/data/1042773/000113031024000066/exhibit46-officerscertific.htm" TargetMode="External"/><Relationship Id="rId274" Type="http://schemas.openxmlformats.org/officeDocument/2006/relationships/hyperlink" Target="https://www.sec.gov/Archives/edgar/data/48732/000119312524248713/d904920dex44.htm" TargetMode="External"/><Relationship Id="rId277" Type="http://schemas.openxmlformats.org/officeDocument/2006/relationships/hyperlink" Target="https://www.sec.gov/Archives/edgar/data/1130310/000113031025000040/a4c35-officerscertificat.htm" TargetMode="External"/><Relationship Id="rId278" Type="http://schemas.openxmlformats.org/officeDocument/2006/relationships/hyperlink" Target="https://www.sec.gov/Archives/edgar/data/48732/000119312525035253/d927512dex44.htm" TargetMode="External"/><Relationship Id="rId279" Type="http://schemas.openxmlformats.org/officeDocument/2006/relationships/hyperlink" Target="https://www.sec.gov/Archives/edgar/data/1130310/000113031025000079/exhibit45-officerscertif.htm" TargetMode="External"/><Relationship Id="rId280" Type="http://schemas.openxmlformats.org/officeDocument/2006/relationships/hyperlink" Target="https://www.sec.gov/Archives/edgar/data/48732/000110465925074216/tm2522303d4_ex4-4.htm" TargetMode="External"/><Relationship Id="rId281" Type="http://schemas.openxmlformats.org/officeDocument/2006/relationships/hyperlink" Target="https://www.sec.gov/Archives/edgar/data/1130310/000113031025000143/cehe_exhibit411.htm" TargetMode="External"/><Relationship Id="rId282" Type="http://schemas.openxmlformats.org/officeDocument/2006/relationships/hyperlink" Target="https://www.sec.gov/Archives/edgar/data/1130310/000095013407004335/h43783exv4wfw11.txt" TargetMode="External"/><Relationship Id="rId283" Type="http://schemas.openxmlformats.org/officeDocument/2006/relationships/hyperlink" Target="https://www.sec.gov/Archives/edgar/data/1130310/000095013407022624/h50854exv4w9.htm" TargetMode="External"/><Relationship Id="rId284" Type="http://schemas.openxmlformats.org/officeDocument/2006/relationships/hyperlink" Target="https://www.sec.gov/Archives/edgar/data/1130310/000113031011000006/exhibit4f15.htm" TargetMode="External"/><Relationship Id="rId285" Type="http://schemas.openxmlformats.org/officeDocument/2006/relationships/hyperlink" Target="https://www.sec.gov/Archives/edgar/data/1130310/000113031017000017/cnp_exhibit411x9302017.htm" TargetMode="External"/><Relationship Id="rId286" Type="http://schemas.openxmlformats.org/officeDocument/2006/relationships/hyperlink" Target="https://www.sec.gov/Archives/edgar/data/1042773/000104277318000008/cerc_exhibit44x3312018.htm" TargetMode="External"/><Relationship Id="rId289" Type="http://schemas.openxmlformats.org/officeDocument/2006/relationships/hyperlink" Target="https://www.sec.gov/Archives/edgar/data/48732/000113031020000098/exhibit423-cercxsupple.htm" TargetMode="External"/><Relationship Id="rId290" Type="http://schemas.openxmlformats.org/officeDocument/2006/relationships/hyperlink" Target="https://www.sec.gov/Archives/edgar/data/1130310/000113031022000103/exhibit412supplementalinde.htm" TargetMode="External"/><Relationship Id="rId291" Type="http://schemas.openxmlformats.org/officeDocument/2006/relationships/hyperlink" Target="https://www.sec.gov/Archives/edgar/data/1042773/000119312522258227/d249099dex42.htm" TargetMode="External"/><Relationship Id="rId292" Type="http://schemas.openxmlformats.org/officeDocument/2006/relationships/hyperlink" Target="https://www.sec.gov/Archives/edgar/data/1130310/000113031023000061/exhibit46-supplementalinde.htm" TargetMode="External"/><Relationship Id="rId293" Type="http://schemas.openxmlformats.org/officeDocument/2006/relationships/hyperlink" Target="https://www.sec.gov/Archives/edgar/data/1130310/000113031023000110/cerc-ex45xsupplementalinde.htm" TargetMode="External"/><Relationship Id="rId294" Type="http://schemas.openxmlformats.org/officeDocument/2006/relationships/hyperlink" Target="https://www.sec.gov/Archives/edgar/data/1042773/000113031024000093/exhibit45cerc-supplemental.htm" TargetMode="External"/><Relationship Id="rId295" Type="http://schemas.openxmlformats.org/officeDocument/2006/relationships/hyperlink" Target="https://www.sec.gov/Archives/edgar/data/1130310/000095012903003045/h06499exv4w1.txt" TargetMode="External"/><Relationship Id="rId296" Type="http://schemas.openxmlformats.org/officeDocument/2006/relationships/hyperlink" Target="https://www.sec.gov/Archives/edgar/data/48732/000113031018000023/cnp_exhibit414x9302018.htm" TargetMode="External"/><Relationship Id="rId298" Type="http://schemas.openxmlformats.org/officeDocument/2006/relationships/hyperlink" Target="https://www.sec.gov/Archives/edgar/data/48732/000113031019000041/exhibit420cnpsuppindentu.htm" TargetMode="External"/><Relationship Id="rId299" Type="http://schemas.openxmlformats.org/officeDocument/2006/relationships/hyperlink" Target="https://www.sec.gov/Archives/edgar/data/48732/000113031021000041/exhibit425cnp-fixedratesup.htm" TargetMode="External"/><Relationship Id="rId301" Type="http://schemas.openxmlformats.org/officeDocument/2006/relationships/hyperlink" Target="https://www.sec.gov/Archives/edgar/data/1130310/000113031023000146/exhibit44supplementalinden.htm" TargetMode="External"/><Relationship Id="rId302" Type="http://schemas.openxmlformats.org/officeDocument/2006/relationships/hyperlink" Target="https://www.sec.gov/Archives/edgar/data/1042773/000113031024000093/exhibit43cnp-supplementali.htm" TargetMode="External"/><Relationship Id="rId303" Type="http://schemas.openxmlformats.org/officeDocument/2006/relationships/hyperlink" Target="https://www.sec.gov/Archives/edgar/data/1130310/000095012902004524/h99690exv4we.txt" TargetMode="External"/><Relationship Id="rId304" Type="http://schemas.openxmlformats.org/officeDocument/2006/relationships/hyperlink" Target="https://www.sec.gov/Archives/edgar/data/1130310/000095013406005252/h33322exv4whw4.txt" TargetMode="External"/><Relationship Id="rId305" Type="http://schemas.openxmlformats.org/officeDocument/2006/relationships/hyperlink" Target="https://www.sec.gov/Archives/edgar/data/1130310/000119312523021694/d444047dex102.htm" TargetMode="External"/><Relationship Id="rId306" Type="http://schemas.openxmlformats.org/officeDocument/2006/relationships/hyperlink" Target="https://www.sec.gov/Archives/edgar/data/1130310/000119312523072741/d481093dex42.htm" TargetMode="External"/><Relationship Id="rId307" Type="http://schemas.openxmlformats.org/officeDocument/2006/relationships/hyperlink" Target="https://www.sec.gov/Archives/edgar/data/1130310/000119312523256879/d527620dex42.htm" TargetMode="External"/><Relationship Id="rId308" Type="http://schemas.openxmlformats.org/officeDocument/2006/relationships/hyperlink" Target="https://www.sec.gov/Archives/edgar/data/1130310/000119312524209934/d846325dex42.htm" TargetMode="External"/><Relationship Id="rId309" Type="http://schemas.openxmlformats.org/officeDocument/2006/relationships/hyperlink" Target="https://www.sec.gov/Archives/edgar/data/1130310/000113031025000040/a4g5-fourthsupplementali.htm" TargetMode="External"/><Relationship Id="rId312" Type="http://schemas.openxmlformats.org/officeDocument/2006/relationships/hyperlink" Target="https://www.sec.gov/Archives/edgar/data/1130310/000113031025000105/exhibit42fifthsupplemental.htm" TargetMode="External"/><Relationship Id="rId313" Type="http://schemas.openxmlformats.org/officeDocument/2006/relationships/hyperlink" Target="https://www.sec.gov/Archives/edgar/data/1130310/000113031025000143/cnp_exhibit43sixthsuppli.htm" TargetMode="External"/><Relationship Id="rId314" Type="http://schemas.openxmlformats.org/officeDocument/2006/relationships/hyperlink" Target="https://www.sec.gov/Archives/edgar/data/92195/000009219599000016/0000092195-99-000016.txt" TargetMode="External"/><Relationship Id="rId315" Type="http://schemas.openxmlformats.org/officeDocument/2006/relationships/hyperlink" Target="https://www.sec.gov/Archives/edgar/data/1096385/000109638513000025/supplementalindentureexhib.htm" TargetMode="External"/><Relationship Id="rId316" Type="http://schemas.openxmlformats.org/officeDocument/2006/relationships/hyperlink" Target="https://www.sec.gov/Archives/edgar/data/1096385/000109638514000073/exhibit41-supplementalinde.htm" TargetMode="External"/><Relationship Id="rId317" Type="http://schemas.openxmlformats.org/officeDocument/2006/relationships/hyperlink" Target="https://www.sec.gov/Archives/edgar/data/1096385/000109638515000079/exhibit41-sigecosupplement.htm" TargetMode="External"/><Relationship Id="rId318" Type="http://schemas.openxmlformats.org/officeDocument/2006/relationships/hyperlink" Target="https://www.sec.gov/Archives/edgar/data/50183/000090883400000226/0000908834-00-000226-0003.txt" TargetMode="External"/><Relationship Id="rId321" Type="http://schemas.openxmlformats.org/officeDocument/2006/relationships/hyperlink" Target="https://www.sec.gov/Archives/edgar/data/1096385/000114036117036333/ex4_1.htm" TargetMode="External"/><Relationship Id="rId322" Type="http://schemas.openxmlformats.org/officeDocument/2006/relationships/hyperlink" Target="https://www.sec.gov/Archives/edgar/data/1096385/000114036118021434/ex4_1.htm" TargetMode="External"/><Relationship Id="rId323" Type="http://schemas.openxmlformats.org/officeDocument/2006/relationships/hyperlink" Target="https://www.sec.gov/Archives/edgar/data/1096385/000114036118021434/ex4_2.htm" TargetMode="External"/><Relationship Id="rId324" Type="http://schemas.openxmlformats.org/officeDocument/2006/relationships/hyperlink" Target="https://www.sec.gov/Archives/edgar/data/1130310/000113031023000013/exhibit4k4-thirdamendment.htm" TargetMode="External"/><Relationship Id="rId325" Type="http://schemas.openxmlformats.org/officeDocument/2006/relationships/hyperlink" Target="https://www.sec.gov/Archives/edgar/data/1042773/000119312522166259/d345043dex41.htm" TargetMode="External"/><Relationship Id="rId326" Type="http://schemas.openxmlformats.org/officeDocument/2006/relationships/hyperlink" Target="https://www.sec.gov/Archives/edgar/data/1042773/000119312522166259/d345043dex43.htm" TargetMode="External"/><Relationship Id="rId327" Type="http://schemas.openxmlformats.org/officeDocument/2006/relationships/hyperlink" Target="https://www.sec.gov/Archives/edgar/data/1042773/000119312522166259/d345043dex44.htm" TargetMode="External"/><Relationship Id="rId328" Type="http://schemas.openxmlformats.org/officeDocument/2006/relationships/hyperlink" Target="https://www.sec.gov/Archives/edgar/data/1042773/000119312522166259/d345043dex45.htm" TargetMode="External"/><Relationship Id="rId330" Type="http://schemas.openxmlformats.org/officeDocument/2006/relationships/hyperlink" Target="https://www.sec.gov/Archives/edgar/data/1042773/000119312522258227/d249099dex43.htm" TargetMode="External"/><Relationship Id="rId331" Type="http://schemas.openxmlformats.org/officeDocument/2006/relationships/hyperlink" Target="https://www.sec.gov/Archives/edgar/data/1130310/000119312523203904/d536903dex41.htm" TargetMode="External"/><Relationship Id="rId332" Type="http://schemas.openxmlformats.org/officeDocument/2006/relationships/hyperlink" Target="https://www.sec.gov/Archives/edgar/data/1042773/000113031024000115/ex41-cnpxbaseindentureau.htm" TargetMode="External"/><Relationship Id="rId333" Type="http://schemas.openxmlformats.org/officeDocument/2006/relationships/hyperlink" Target="https://www.sec.gov/Archives/edgar/data/1042773/000113031024000115/ex42-cnpxsupplementalind.htm" TargetMode="External"/><Relationship Id="rId334" Type="http://schemas.openxmlformats.org/officeDocument/2006/relationships/hyperlink" Target="https://www.sec.gov/Archives/edgar/data/1130310/000113031025000040/a4p3-cnpjsnsupplementali.htm" TargetMode="External"/><Relationship Id="rId335" Type="http://schemas.openxmlformats.org/officeDocument/2006/relationships/hyperlink" Target="https://www.sec.gov/Archives/edgar/data/1130310/000113031025000137/cnp_exhibit46.htm" TargetMode="External"/><Relationship Id="rId336" Type="http://schemas.openxmlformats.org/officeDocument/2006/relationships/hyperlink" Target="https://www.sec.gov/Archives/edgar/data/1130310/000119312525170585/d870404dex41.htm" TargetMode="External"/><Relationship Id="rId337" Type="http://schemas.openxmlformats.org/officeDocument/2006/relationships/hyperlink" Target="https://www.sec.gov/Archives/edgar/data/2072436/000110465925090869/tm2517786d14_ex4-1.htm" TargetMode="External"/><Relationship Id="rId338" Type="http://schemas.openxmlformats.org/officeDocument/2006/relationships/hyperlink" Target="https://www.sec.gov/Archives/edgar/data/2072436/000110465925090869/tm2517786d14_ex4-2.htm" TargetMode="External"/><Relationship Id="rId340" Type="http://schemas.openxmlformats.org/officeDocument/2006/relationships/hyperlink" Target="https://www.sec.gov/Archives/edgar/data/1130310/000113031011000027/ex10-3.htm" TargetMode="External"/><Relationship Id="rId341" Type="http://schemas.openxmlformats.org/officeDocument/2006/relationships/hyperlink" Target="https://www.sec.gov/Archives/edgar/data/48732/000095012908006187/h65316exv10w1.htm" TargetMode="External"/><Relationship Id="rId342" Type="http://schemas.openxmlformats.org/officeDocument/2006/relationships/hyperlink" Target="https://www.sec.gov/Archives/edgar/data/1130310/000113031011000027/ex10-4.htm" TargetMode="External"/><Relationship Id="rId343" Type="http://schemas.openxmlformats.org/officeDocument/2006/relationships/hyperlink" Target="https://www.sec.gov/Archives/edgar/data/1130310/000113031022000063/exhibit1014finalenableterm.htm" TargetMode="External"/><Relationship Id="rId344" Type="http://schemas.openxmlformats.org/officeDocument/2006/relationships/hyperlink" Target="https://www.sec.gov/Archives/edgar/data/1130310/000113031023000146/exhibit102thirdamendmentto.htm" TargetMode="External"/><Relationship Id="rId345" Type="http://schemas.openxmlformats.org/officeDocument/2006/relationships/hyperlink" Target="https://www.sec.gov/Archives/edgar/data/1130310/000095012903005578/h10111exv10w1.txt" TargetMode="External"/><Relationship Id="rId346" Type="http://schemas.openxmlformats.org/officeDocument/2006/relationships/hyperlink" Target="https://www.sec.gov/Archives/edgar/data/48732/000095012908006187/h65316exv10w4.htm" TargetMode="External"/><Relationship Id="rId347" Type="http://schemas.openxmlformats.org/officeDocument/2006/relationships/hyperlink" Target="https://www.sec.gov/Archives/edgar/data/1130310/000113031011000027/ex10-5.htm" TargetMode="External"/><Relationship Id="rId350" Type="http://schemas.openxmlformats.org/officeDocument/2006/relationships/hyperlink" Target="https://www.sec.gov/Archives/edgar/data/48732/000095012908006187/h65316exv10w3.htm" TargetMode="External"/><Relationship Id="rId351" Type="http://schemas.openxmlformats.org/officeDocument/2006/relationships/hyperlink" Target="https://www.sec.gov/Archives/edgar/data/1130310/000113031011000027/ex10-6.htm" TargetMode="External"/><Relationship Id="rId352" Type="http://schemas.openxmlformats.org/officeDocument/2006/relationships/hyperlink" Target="https://www.sec.gov/Archives/edgar/data/1130310/000113031019000051/exhibit1012ndamendmentto.htm" TargetMode="External"/><Relationship Id="rId353" Type="http://schemas.openxmlformats.org/officeDocument/2006/relationships/hyperlink" Target="https://www.sec.gov/Archives/edgar/data/1130310/000113031022000063/exhibit1018finalenableterm.htm" TargetMode="External"/><Relationship Id="rId354" Type="http://schemas.openxmlformats.org/officeDocument/2006/relationships/hyperlink" Target="https://www.sec.gov/Archives/edgar/data/1130310/000113031023000146/exhibit103fourthamendmentt.htm" TargetMode="External"/><Relationship Id="rId355" Type="http://schemas.openxmlformats.org/officeDocument/2006/relationships/hyperlink" Target="https://www.sec.gov/Archives/edgar/data/1042773/000113031024000010/tab10e6fifthamendment.htm" TargetMode="External"/><Relationship Id="rId356" Type="http://schemas.openxmlformats.org/officeDocument/2006/relationships/hyperlink" Target="https://www.sec.gov/Archives/edgar/data/1042773/000113031024000010/exbitit10e7-esgtermination.htm" TargetMode="External"/><Relationship Id="rId357" Type="http://schemas.openxmlformats.org/officeDocument/2006/relationships/hyperlink" Target="https://www.sec.gov/Archives/edgar/data/1130310/000095012903005578/h10111exv10w5.txt" TargetMode="External"/><Relationship Id="rId358" Type="http://schemas.openxmlformats.org/officeDocument/2006/relationships/hyperlink" Target="https://www.sec.gov/Archives/edgar/data/48732/000095012901500725/h86969ex10-1_rei.txt" TargetMode="External"/><Relationship Id="rId361" Type="http://schemas.openxmlformats.org/officeDocument/2006/relationships/hyperlink" Target="https://www.sec.gov/Archives/edgar/data/1130310/000095012903001299/h03755exv10wbb5.txt" TargetMode="External"/><Relationship Id="rId362" Type="http://schemas.openxmlformats.org/officeDocument/2006/relationships/hyperlink" Target="https://www.sec.gov/Archives/edgar/data/48732/000095012901500725/h86969ex10-5_rei.txt" TargetMode="External"/><Relationship Id="rId363" Type="http://schemas.openxmlformats.org/officeDocument/2006/relationships/hyperlink" Target="https://www.sec.gov/Archives/edgar/data/48732/000095012901500725/h86969ex10-6_rei.txt" TargetMode="External"/><Relationship Id="rId364" Type="http://schemas.openxmlformats.org/officeDocument/2006/relationships/hyperlink" Target="https://www.sec.gov/Archives/edgar/data/48732/000095012901500725/h86969ex10-8_rei.txt" TargetMode="External"/><Relationship Id="rId365" Type="http://schemas.openxmlformats.org/officeDocument/2006/relationships/hyperlink" Target="https://www.sec.gov/Archives/edgar/data/1130310/000095012903001299/h03755exv10wcc1.txt" TargetMode="External"/><Relationship Id="rId366" Type="http://schemas.openxmlformats.org/officeDocument/2006/relationships/hyperlink" Target="https://www.sec.gov/Archives/edgar/data/1130310/000095012903001299/h03755exv10wcc2.txt" TargetMode="External"/><Relationship Id="rId367" Type="http://schemas.openxmlformats.org/officeDocument/2006/relationships/hyperlink" Target="https://www.sec.gov/Archives/edgar/data/1130310/000095012903001299/h03755exv10wcc3.txt" TargetMode="External"/><Relationship Id="rId368" Type="http://schemas.openxmlformats.org/officeDocument/2006/relationships/hyperlink" Target="https://www.sec.gov/Archives/edgar/data/1130310/000095012903005578/h10111exv10w2.txt" TargetMode="External"/><Relationship Id="rId369" Type="http://schemas.openxmlformats.org/officeDocument/2006/relationships/hyperlink" Target="https://www.sec.gov/Archives/edgar/data/1130310/000095012908001179/h54319exv10w4.htm" TargetMode="External"/><Relationship Id="rId370" Type="http://schemas.openxmlformats.org/officeDocument/2006/relationships/hyperlink" Target="https://www.sec.gov/Archives/edgar/data/1130310/000113031008000023/ex10-1.htm" TargetMode="External"/><Relationship Id="rId371" Type="http://schemas.openxmlformats.org/officeDocument/2006/relationships/hyperlink" Target="https://www.sec.gov/Archives/edgar/data/1130310/000113031022000056/exhibit1010finalenableterm.htm" TargetMode="External"/><Relationship Id="rId372" Type="http://schemas.openxmlformats.org/officeDocument/2006/relationships/hyperlink" Target="https://www.sec.gov/Archives/edgar/data/1130310/000113031022000063/exhibit1011-secondamendment.htm" TargetMode="External"/><Relationship Id="rId373" Type="http://schemas.openxmlformats.org/officeDocument/2006/relationships/hyperlink" Target="https://www.sec.gov/Archives/edgar/data/1130310/000113031023000146/exhibit101thirdamendmentto.htm" TargetMode="External"/><Relationship Id="rId376" Type="http://schemas.openxmlformats.org/officeDocument/2006/relationships/hyperlink" Target="https://www.sec.gov/Archives/edgar/data/1042773/000113031024000010/exhibit5-esgterminationame.htm" TargetMode="External"/><Relationship Id="rId377" Type="http://schemas.openxmlformats.org/officeDocument/2006/relationships/hyperlink" Target="https://www.sec.gov/Archives/edgar/data/1130310/000113031025000137/cnp_ex104fifthamendtodcp.htm" TargetMode="External"/><Relationship Id="rId378" Type="http://schemas.openxmlformats.org/officeDocument/2006/relationships/hyperlink" Target="https://www.sec.gov/Archives/edgar/data/48732/000113031022000023/exhibit10l12312021.htm" TargetMode="External"/><Relationship Id="rId379" Type="http://schemas.openxmlformats.org/officeDocument/2006/relationships/hyperlink" Target="https://www.sec.gov/Archives/edgar/data/48732/000113031023000013/exhibit10l2firstamendmentt.htm" TargetMode="External"/><Relationship Id="rId380" Type="http://schemas.openxmlformats.org/officeDocument/2006/relationships/hyperlink" Target="https://www.sec.gov/Archives/edgar/data/1130310/000113031018000012/cnp_exhibit101x3312018.htm" TargetMode="External"/><Relationship Id="rId381" Type="http://schemas.openxmlformats.org/officeDocument/2006/relationships/hyperlink" Target="https://www.sec.gov/Archives/edgar/data/48732/000113031020000016/cnpexhibit10n2123120191.htm" TargetMode="External"/><Relationship Id="rId382" Type="http://schemas.openxmlformats.org/officeDocument/2006/relationships/hyperlink" Target="https://www.sec.gov/Archives/edgar/data/1130310/000113031025000040/exhibit10m2-secondamendm.htm" TargetMode="External"/><Relationship Id="rId383" Type="http://schemas.openxmlformats.org/officeDocument/2006/relationships/hyperlink" Target="https://www.sec.gov/Archives/edgar/data/1130310/000095012905007806/h27513exv10w1.txt" TargetMode="External"/><Relationship Id="rId384" Type="http://schemas.openxmlformats.org/officeDocument/2006/relationships/hyperlink" Target="https://www.sec.gov/Archives/edgar/data/1130310/000113031008000023/ex10-2.htm" TargetMode="External"/><Relationship Id="rId385" Type="http://schemas.openxmlformats.org/officeDocument/2006/relationships/hyperlink" Target="https://www.sec.gov/Archives/edgar/data/1130310/000113031008000023/ex10-3.htm" TargetMode="External"/><Relationship Id="rId386" Type="http://schemas.openxmlformats.org/officeDocument/2006/relationships/hyperlink" Target="https://www.sec.gov/Archives/edgar/data/1130310/000119312509052753/ddef14a.htm" TargetMode="External"/><Relationship Id="rId387" Type="http://schemas.openxmlformats.org/officeDocument/2006/relationships/hyperlink" Target="https://www.sec.gov/Archives/edgar/data/48732/000113031020000016/cnpexhibit10q212312019.htm" TargetMode="External"/><Relationship Id="rId388" Type="http://schemas.openxmlformats.org/officeDocument/2006/relationships/hyperlink" Target="https://www.sec.gov/Archives/edgar/data/48732/000113031020000016/cnpexhibit10q512312019.htm" TargetMode="External"/><Relationship Id="rId391" Type="http://schemas.openxmlformats.org/officeDocument/2006/relationships/hyperlink" Target="https://www.sec.gov/Archives/edgar/data/48732/000113031020000067/exhibit104ceoretention.htm" TargetMode="External"/><Relationship Id="rId392" Type="http://schemas.openxmlformats.org/officeDocument/2006/relationships/hyperlink" Target="https://www.sec.gov/Archives/edgar/data/48732/000113031020000067/exhibit102ceopsu.htm" TargetMode="External"/><Relationship Id="rId393" Type="http://schemas.openxmlformats.org/officeDocument/2006/relationships/hyperlink" Target="https://www.sec.gov/Archives/edgar/data/48732/000113031020000067/exhibit103ceorsu.htm" TargetMode="External"/><Relationship Id="rId394" Type="http://schemas.openxmlformats.org/officeDocument/2006/relationships/hyperlink" Target="https://www.sec.gov/Archives/edgar/data/48732/000113031020000033/exhibit101psuawardagre.htm" TargetMode="External"/><Relationship Id="rId395" Type="http://schemas.openxmlformats.org/officeDocument/2006/relationships/hyperlink" Target="https://www.sec.gov/Archives/edgar/data/48732/000113031020000033/exhibit102rsuawardagre.htm" TargetMode="External"/><Relationship Id="rId396" Type="http://schemas.openxmlformats.org/officeDocument/2006/relationships/hyperlink" Target="https://www.sec.gov/Archives/edgar/data/1130310/000113031021000009/cnpexhibit10q1212312020.htm" TargetMode="External"/><Relationship Id="rId397" Type="http://schemas.openxmlformats.org/officeDocument/2006/relationships/hyperlink" Target="https://www.sec.gov/Archives/edgar/data/1130310/000113031021000009/cnpexhibit10q1312312020.htm" TargetMode="External"/><Relationship Id="rId398" Type="http://schemas.openxmlformats.org/officeDocument/2006/relationships/hyperlink" Target="https://www.sec.gov/Archives/edgar/data/48732/000113031020000019/exhibit101.htm" TargetMode="External"/><Relationship Id="rId399" Type="http://schemas.openxmlformats.org/officeDocument/2006/relationships/hyperlink" Target="https://www.sec.gov/Archives/edgar/data/48732/000119312521221415/d174067dex101.htm" TargetMode="External"/><Relationship Id="rId400" Type="http://schemas.openxmlformats.org/officeDocument/2006/relationships/hyperlink" Target="https://www.sec.gov/Archives/edgar/data/1130310/000119312517151944/d372078dex101.htm" TargetMode="External"/><Relationship Id="rId401" Type="http://schemas.openxmlformats.org/officeDocument/2006/relationships/hyperlink" Target="https://www.sec.gov/Archives/edgar/data/48732/000113031021000009/cnpexhibit10t212312020.htm" TargetMode="External"/><Relationship Id="rId402" Type="http://schemas.openxmlformats.org/officeDocument/2006/relationships/hyperlink" Target="https://www.sec.gov/Archives/edgar/data/1130310/000113031022000023/exhibit10q3.htm" TargetMode="External"/><Relationship Id="rId403" Type="http://schemas.openxmlformats.org/officeDocument/2006/relationships/hyperlink" Target="https://www.sec.gov/Archives/edgar/data/1042773/000113031024000066/exhibit101thirdamendmentch.htm" TargetMode="External"/><Relationship Id="rId405" Type="http://schemas.openxmlformats.org/officeDocument/2006/relationships/hyperlink" Target="https://www.sec.gov/Archives/edgar/data/1130310/000113031014000005/cnp_exhibit10zzx12312013.htm" TargetMode="External"/><Relationship Id="rId406" Type="http://schemas.openxmlformats.org/officeDocument/2006/relationships/hyperlink" Target="https://www.sec.gov/Archives/edgar/data/1096385/000109638502000012/vvc-ex10x32_nonqual.txt" TargetMode="External"/><Relationship Id="rId407" Type="http://schemas.openxmlformats.org/officeDocument/2006/relationships/hyperlink" Target="https://www.sec.gov/Archives/edgar/data/1042773/000113031024000010/exhibit10s2.htm" TargetMode="External"/><Relationship Id="rId408" Type="http://schemas.openxmlformats.org/officeDocument/2006/relationships/hyperlink" Target="https://www.sec.gov/Archives/edgar/data/1096385/000112954208000035/ex10_3.htm" TargetMode="External"/><Relationship Id="rId409" Type="http://schemas.openxmlformats.org/officeDocument/2006/relationships/hyperlink" Target="https://www.sec.gov/Archives/edgar/data/1042773/000113031024000066/exhibit102-esgterminationa.htm" TargetMode="External"/><Relationship Id="rId410" Type="http://schemas.openxmlformats.org/officeDocument/2006/relationships/hyperlink" Target="https://www.sec.gov/Archives/edgar/data/1096385/000090883408000471/vc_8k1218ex102.htm" TargetMode="External"/><Relationship Id="rId411" Type="http://schemas.openxmlformats.org/officeDocument/2006/relationships/hyperlink" Target="https://www.sec.gov/Archives/edgar/data/1042773/000113031024000010/exhibit10u2.htm" TargetMode="External"/><Relationship Id="rId412" Type="http://schemas.openxmlformats.org/officeDocument/2006/relationships/hyperlink" Target="https://www.sec.gov/Archives/edgar/data/1096385/000090883408000471/vc_8k1218ex101.htm" TargetMode="External"/><Relationship Id="rId413" Type="http://schemas.openxmlformats.org/officeDocument/2006/relationships/hyperlink" Target="https://www.sec.gov/Archives/edgar/data/1096385/000109638513000071/vvc9302013ex101.htm" TargetMode="External"/><Relationship Id="rId414" Type="http://schemas.openxmlformats.org/officeDocument/2006/relationships/hyperlink" Target="https://www.sec.gov/Archives/edgar/data/1130310/000119312522073412/d333523ddef14a.htm#toc333523_55" TargetMode="External"/><Relationship Id="rId415" Type="http://schemas.openxmlformats.org/officeDocument/2006/relationships/hyperlink" Target="https://www.sec.gov/Archives/edgar/data/1130310/000113031022000056/exhibit102finalcnp_2022ceo.htm" TargetMode="External"/><Relationship Id="rId416" Type="http://schemas.openxmlformats.org/officeDocument/2006/relationships/hyperlink" Target="https://www.sec.gov/Archives/edgar/data/1130310/000113031022000056/exhibit103finalcnp_2022psu.htm" TargetMode="External"/><Relationship Id="rId417" Type="http://schemas.openxmlformats.org/officeDocument/2006/relationships/hyperlink" Target="https://www.sec.gov/Archives/edgar/data/1130310/000113031022000056/exhibit104finalcnp_2022ret.htm" TargetMode="External"/><Relationship Id="rId420" Type="http://schemas.openxmlformats.org/officeDocument/2006/relationships/hyperlink" Target="https://www.sec.gov/Archives/edgar/data/1130310/000113031022000056/exhibit105finalcnp_2022rsu.htm" TargetMode="External"/><Relationship Id="rId421" Type="http://schemas.openxmlformats.org/officeDocument/2006/relationships/hyperlink" Target="https://www.sec.gov/Archives/edgar/data/1130310/000113031022000056/exhibit107finalcnp_2022rsu.htm" TargetMode="External"/><Relationship Id="rId422" Type="http://schemas.openxmlformats.org/officeDocument/2006/relationships/hyperlink" Target="https://www.sec.gov/Archives/edgar/data/1130310/000113031022000056/exhibit108finalcnp_2022ceo.htm" TargetMode="External"/><Relationship Id="rId423" Type="http://schemas.openxmlformats.org/officeDocument/2006/relationships/hyperlink" Target="https://www.sec.gov/Archives/edgar/data/48732/000113031023000013/exhibit10ee9formofperforma.htm" TargetMode="External"/><Relationship Id="rId424" Type="http://schemas.openxmlformats.org/officeDocument/2006/relationships/hyperlink" Target="https://www.sec.gov/Archives/edgar/data/48732/000113031023000013/exhibit10ee10formofrsu.htm" TargetMode="External"/><Relationship Id="rId425" Type="http://schemas.openxmlformats.org/officeDocument/2006/relationships/hyperlink" Target="https://www.sec.gov/Archives/edgar/data/48732/000113031023000052/exhibit102rsuagreement.htm" TargetMode="External"/><Relationship Id="rId426" Type="http://schemas.openxmlformats.org/officeDocument/2006/relationships/hyperlink" Target="https://www.sec.gov/Archives/edgar/data/1130310/000113031023000127/exhibit101psuawardagreem.htm" TargetMode="External"/><Relationship Id="rId427" Type="http://schemas.openxmlformats.org/officeDocument/2006/relationships/hyperlink" Target="https://www.sec.gov/Archives/edgar/data/1130310/000113031023000127/exhibit102rsuawardagreem.htm" TargetMode="External"/><Relationship Id="rId428" Type="http://schemas.openxmlformats.org/officeDocument/2006/relationships/hyperlink" Target="https://www.sec.gov/Archives/edgar/data/1042773/000113031024000010/exhibit10cc13rsuwithperfor.htm" TargetMode="External"/><Relationship Id="rId429" Type="http://schemas.openxmlformats.org/officeDocument/2006/relationships/hyperlink" Target="https://www.sec.gov/Archives/edgar/data/1042773/000113031024000010/exhibit10cc14psuofficersan.htm" TargetMode="External"/><Relationship Id="rId430" Type="http://schemas.openxmlformats.org/officeDocument/2006/relationships/hyperlink" Target="https://www.sec.gov/Archives/edgar/data/1042773/000113031024000010/exhibit10cc15rsuwithperfor.htm" TargetMode="External"/><Relationship Id="rId433" Type="http://schemas.openxmlformats.org/officeDocument/2006/relationships/hyperlink" Target="https://www.sec.gov/Archives/edgar/data/48732/000119312522300186/d375965dex101.htm" TargetMode="External"/><Relationship Id="rId434" Type="http://schemas.openxmlformats.org/officeDocument/2006/relationships/hyperlink" Target="https://www.sec.gov/Archives/edgar/data/1130310/000113031023000110/exhibit101-firstamendmentt.htm" TargetMode="External"/><Relationship Id="rId435" Type="http://schemas.openxmlformats.org/officeDocument/2006/relationships/hyperlink" Target="https://www.sec.gov/Archives/edgar/data/1130310/000113031025000013/exhibit101cnpextensionagre.htm" TargetMode="External"/><Relationship Id="rId436" Type="http://schemas.openxmlformats.org/officeDocument/2006/relationships/hyperlink" Target="https://www.sec.gov/Archives/edgar/data/48732/000119312522300186/d375965dex102.htm" TargetMode="External"/><Relationship Id="rId437" Type="http://schemas.openxmlformats.org/officeDocument/2006/relationships/hyperlink" Target="https://www.sec.gov/Archives/edgar/data/1130310/000113031025000013/exhibit102ceheextensionagr.htm" TargetMode="External"/><Relationship Id="rId438" Type="http://schemas.openxmlformats.org/officeDocument/2006/relationships/hyperlink" Target="https://www.sec.gov/Archives/edgar/data/48732/000119312522300186/d375965dex103.htm" TargetMode="External"/><Relationship Id="rId439" Type="http://schemas.openxmlformats.org/officeDocument/2006/relationships/hyperlink" Target="https://www.sec.gov/Archives/edgar/data/1130310/000113031025000013/exhibit103cercextensionagr.htm" TargetMode="External"/><Relationship Id="rId440" Type="http://schemas.openxmlformats.org/officeDocument/2006/relationships/hyperlink" Target="https://www.sec.gov/Archives/edgar/data/48732/000119312522300186/d375965dex104.htm" TargetMode="External"/><Relationship Id="rId441" Type="http://schemas.openxmlformats.org/officeDocument/2006/relationships/hyperlink" Target="https://www.sec.gov/Archives/edgar/data/1130310/000113031025000013/exhibit104sigecoextensiona.htm" TargetMode="External"/><Relationship Id="rId443" Type="http://schemas.openxmlformats.org/officeDocument/2006/relationships/hyperlink" Target="https://www.sec.gov/Archives/edgar/data/1130310/000119312524167028/d811993dex101.htm" TargetMode="External"/><Relationship Id="rId444" Type="http://schemas.openxmlformats.org/officeDocument/2006/relationships/hyperlink" Target="https://www.sec.gov/Archives/edgar/data/48732/000110465925114622/tm2531796d1_ex10-2.htm" TargetMode="External"/><Relationship Id="rId445" Type="http://schemas.openxmlformats.org/officeDocument/2006/relationships/hyperlink" Target="https://www.sec.gov/Archives/edgar/data/48732/000113031023000052/exhibit101offerletter.htm" TargetMode="External"/><Relationship Id="rId446" Type="http://schemas.openxmlformats.org/officeDocument/2006/relationships/hyperlink" Target="https://www.sec.gov/Archives/edgar/data/1130310/000119312523072741/d481093dex101.htm" TargetMode="External"/><Relationship Id="rId447" Type="http://schemas.openxmlformats.org/officeDocument/2006/relationships/hyperlink" Target="https://www.sec.gov/Archives/edgar/data/1130310/000119312523256879/d527620dex101.htm" TargetMode="External"/><Relationship Id="rId448" Type="http://schemas.openxmlformats.org/officeDocument/2006/relationships/hyperlink" Target="https://www.sec.gov/Archives/edgar/data/1130310/000119312524209934/d846325dex101.htm" TargetMode="External"/><Relationship Id="rId449" Type="http://schemas.openxmlformats.org/officeDocument/2006/relationships/hyperlink" Target="https://www.sec.gov/Archives/edgar/data/1130310/000113031025000105/exhibit101bondpurchaseag.htm" TargetMode="External"/><Relationship Id="rId450" Type="http://schemas.openxmlformats.org/officeDocument/2006/relationships/hyperlink" Target="https://www.sec.gov/ix?doc=/Archives/edgar/data/0001130310/000119312524006148/d389888d8k.htm" TargetMode="External"/><Relationship Id="rId452" Type="http://schemas.openxmlformats.org/officeDocument/2006/relationships/hyperlink" Target="https://www.sec.gov/Archives/edgar/data/1130310/000119312525129594/d32980dex101.htm" TargetMode="External"/><Relationship Id="rId453" Type="http://schemas.openxmlformats.org/officeDocument/2006/relationships/hyperlink" Target="https://www.sec.gov/Archives/edgar/data/1130310/000119312525129594/d32980dex102.htm" TargetMode="External"/><Relationship Id="rId454" Type="http://schemas.openxmlformats.org/officeDocument/2006/relationships/hyperlink" Target="https://www.sec.gov/Archives/edgar/data/1130310/000119312525129594/d32980dex103.htm" TargetMode="External"/><Relationship Id="rId455" Type="http://schemas.openxmlformats.org/officeDocument/2006/relationships/hyperlink" Target="https://www.sec.gov/Archives/edgar/data/1130310/000119312525130167/d830303dex101.htm" TargetMode="External"/><Relationship Id="rId456" Type="http://schemas.openxmlformats.org/officeDocument/2006/relationships/hyperlink" Target="https://www.sec.gov/Archives/edgar/data/1130310/000119312525130167/d830303dex102.htm" TargetMode="External"/><Relationship Id="rId457" Type="http://schemas.openxmlformats.org/officeDocument/2006/relationships/hyperlink" Target="https://www.sec.gov/Archives/edgar/data/1130310/000119312525130167/d830303dex103.htm" TargetMode="External"/><Relationship Id="rId458" Type="http://schemas.openxmlformats.org/officeDocument/2006/relationships/hyperlink" Target="https://www.sec.gov/Archives/edgar/data/1130310/000113031025000108/offerletter-evpcooxjesus.htm" TargetMode="External"/><Relationship Id="rId459" Type="http://schemas.openxmlformats.org/officeDocument/2006/relationships/hyperlink" Target="https://www.sec.gov/Archives/edgar/data/1130310/000113031025000040/a19-cnpinsidertrading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2026-02-19T05:27:20Z</dcterms:created>
  <dcterms:modified xsi:type="dcterms:W3CDTF">2026-02-19T05:27:20Z</dcterms:modified>
</cp:coreProperties>
</file>