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ASSET-BACKED ISSUER DISTRIBUTION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semi-annual distribution period from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15, 2014 to April 15, 2015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of issuing entity: 333-177662-01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line="253" w:lineRule="auto"/>
        <w:rPr>
          <w:sz w:val="20"/>
          <w:szCs w:val="20"/>
          <w:color w:val="auto"/>
        </w:rPr>
      </w:pPr>
      <w:r>
        <w:rPr>
          <w:rFonts w:ascii="Arial" w:cs="Arial" w:eastAsia="Arial" w:hAnsi="Arial"/>
          <w:sz w:val="43"/>
          <w:szCs w:val="43"/>
          <w:b w:val="1"/>
          <w:bCs w:val="1"/>
          <w:color w:val="auto"/>
        </w:rPr>
        <w:t>CENTERPOINT ENERGY TRANSITION BOND COMPANY IV, LLC</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of depositor: 1-3187</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CENTERPOINT ENERGY HOUSTON ELECTRIC,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depositor and sponsor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 of the issuing entity)</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45-3687039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080" w:type="dxa"/>
            <w:vAlign w:val="bottom"/>
          </w:tcPr>
          <w:p>
            <w:pPr>
              <w:jc w:val="center"/>
              <w:ind w:left="974"/>
              <w:spacing w:after="0"/>
              <w:rPr>
                <w:sz w:val="20"/>
                <w:szCs w:val="20"/>
                <w:color w:val="auto"/>
              </w:rPr>
            </w:pPr>
            <w:r>
              <w:rPr>
                <w:rFonts w:ascii="Arial" w:cs="Arial" w:eastAsia="Arial" w:hAnsi="Arial"/>
                <w:sz w:val="18"/>
                <w:szCs w:val="18"/>
                <w:b w:val="1"/>
                <w:bCs w:val="1"/>
                <w:color w:val="auto"/>
                <w:w w:val="88"/>
              </w:rPr>
              <w:t>1111 Louisiana</w:t>
            </w: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80" w:type="dxa"/>
            <w:vAlign w:val="bottom"/>
          </w:tcPr>
          <w:p>
            <w:pPr>
              <w:jc w:val="center"/>
              <w:ind w:left="974"/>
              <w:spacing w:after="0"/>
              <w:rPr>
                <w:sz w:val="20"/>
                <w:szCs w:val="20"/>
                <w:color w:val="auto"/>
              </w:rPr>
            </w:pPr>
            <w:r>
              <w:rPr>
                <w:rFonts w:ascii="Arial" w:cs="Arial" w:eastAsia="Arial" w:hAnsi="Arial"/>
                <w:sz w:val="18"/>
                <w:szCs w:val="18"/>
                <w:b w:val="1"/>
                <w:bCs w:val="1"/>
                <w:color w:val="auto"/>
                <w:w w:val="88"/>
              </w:rPr>
              <w:t>Suite 4664B</w:t>
            </w: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3080" w:type="dxa"/>
            <w:vAlign w:val="bottom"/>
          </w:tcPr>
          <w:p>
            <w:pPr>
              <w:jc w:val="center"/>
              <w:ind w:left="974"/>
              <w:spacing w:after="0"/>
              <w:rPr>
                <w:sz w:val="20"/>
                <w:szCs w:val="20"/>
                <w:color w:val="auto"/>
              </w:rPr>
            </w:pPr>
            <w:r>
              <w:rPr>
                <w:rFonts w:ascii="Arial" w:cs="Arial" w:eastAsia="Arial" w:hAnsi="Arial"/>
                <w:sz w:val="18"/>
                <w:szCs w:val="18"/>
                <w:b w:val="1"/>
                <w:bCs w:val="1"/>
                <w:color w:val="auto"/>
                <w:w w:val="88"/>
              </w:rPr>
              <w:t>Houston, Texas</w:t>
            </w: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2"/>
          </w:tcPr>
          <w:p>
            <w:pPr>
              <w:jc w:val="right"/>
              <w:ind w:right="694"/>
              <w:spacing w:after="0"/>
              <w:rPr>
                <w:sz w:val="20"/>
                <w:szCs w:val="20"/>
                <w:color w:val="auto"/>
              </w:rPr>
            </w:pPr>
            <w:r>
              <w:rPr>
                <w:rFonts w:ascii="Arial" w:cs="Arial" w:eastAsia="Arial" w:hAnsi="Arial"/>
                <w:sz w:val="18"/>
                <w:szCs w:val="18"/>
                <w:b w:val="1"/>
                <w:bCs w:val="1"/>
                <w:color w:val="auto"/>
              </w:rPr>
              <w:t>77002</w:t>
            </w: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5800" w:type="dxa"/>
            <w:vAlign w:val="bottom"/>
            <w:gridSpan w:val="4"/>
          </w:tcPr>
          <w:p>
            <w:pPr>
              <w:jc w:val="center"/>
              <w:ind w:right="1588"/>
              <w:spacing w:after="0"/>
              <w:rPr>
                <w:sz w:val="20"/>
                <w:szCs w:val="20"/>
                <w:color w:val="auto"/>
              </w:rPr>
            </w:pPr>
            <w:r>
              <w:rPr>
                <w:rFonts w:ascii="Arial" w:cs="Arial" w:eastAsia="Arial" w:hAnsi="Arial"/>
                <w:sz w:val="14"/>
                <w:szCs w:val="14"/>
                <w:b w:val="1"/>
                <w:bCs w:val="1"/>
                <w:color w:val="auto"/>
                <w:w w:val="91"/>
              </w:rPr>
              <w:t>(Address of principal executive offices of the issuing entity)</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gridSpan w:val="2"/>
          </w:tcPr>
          <w:p>
            <w:pPr>
              <w:jc w:val="center"/>
              <w:ind w:right="414"/>
              <w:spacing w:after="0"/>
              <w:rPr>
                <w:sz w:val="20"/>
                <w:szCs w:val="20"/>
                <w:color w:val="auto"/>
              </w:rPr>
            </w:pPr>
            <w:r>
              <w:rPr>
                <w:rFonts w:ascii="Arial" w:cs="Arial" w:eastAsia="Arial" w:hAnsi="Arial"/>
                <w:sz w:val="14"/>
                <w:szCs w:val="14"/>
                <w:b w:val="1"/>
                <w:bCs w:val="1"/>
                <w:color w:val="auto"/>
                <w:w w:val="95"/>
              </w:rPr>
              <w:t>(Zip Code)</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20" w:type="dxa"/>
            <w:vAlign w:val="bottom"/>
            <w:gridSpan w:val="3"/>
          </w:tcPr>
          <w:p>
            <w:pPr>
              <w:jc w:val="right"/>
              <w:ind w:right="268"/>
              <w:spacing w:after="0"/>
              <w:rPr>
                <w:sz w:val="20"/>
                <w:szCs w:val="20"/>
                <w:color w:val="auto"/>
              </w:rPr>
            </w:pPr>
            <w:r>
              <w:rPr>
                <w:rFonts w:ascii="Arial" w:cs="Arial" w:eastAsia="Arial" w:hAnsi="Arial"/>
                <w:sz w:val="18"/>
                <w:szCs w:val="18"/>
                <w:b w:val="1"/>
                <w:bCs w:val="1"/>
                <w:color w:val="auto"/>
              </w:rPr>
              <w:t>(713) 207-5776</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240" w:type="dxa"/>
            <w:vAlign w:val="bottom"/>
            <w:gridSpan w:val="6"/>
          </w:tcPr>
          <w:p>
            <w:pPr>
              <w:jc w:val="center"/>
              <w:ind w:right="548"/>
              <w:spacing w:after="0"/>
              <w:rPr>
                <w:sz w:val="20"/>
                <w:szCs w:val="20"/>
                <w:color w:val="auto"/>
              </w:rPr>
            </w:pPr>
            <w:r>
              <w:rPr>
                <w:rFonts w:ascii="Arial" w:cs="Arial" w:eastAsia="Arial" w:hAnsi="Arial"/>
                <w:sz w:val="14"/>
                <w:szCs w:val="14"/>
                <w:b w:val="1"/>
                <w:bCs w:val="1"/>
                <w:color w:val="auto"/>
                <w:w w:val="91"/>
              </w:rPr>
              <w:t>(Issuing entity’s telephone number, including area code)</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40" w:type="dxa"/>
            <w:vAlign w:val="bottom"/>
            <w:gridSpan w:val="5"/>
          </w:tcPr>
          <w:p>
            <w:pPr>
              <w:jc w:val="center"/>
              <w:ind w:right="714"/>
              <w:spacing w:after="0"/>
              <w:rPr>
                <w:sz w:val="20"/>
                <w:szCs w:val="20"/>
                <w:color w:val="auto"/>
              </w:rPr>
            </w:pPr>
            <w:r>
              <w:rPr>
                <w:rFonts w:ascii="Arial" w:cs="Arial" w:eastAsia="Arial" w:hAnsi="Arial"/>
                <w:sz w:val="14"/>
                <w:szCs w:val="14"/>
                <w:b w:val="1"/>
                <w:bCs w:val="1"/>
                <w:color w:val="auto"/>
                <w:w w:val="93"/>
              </w:rPr>
              <w:t>Registered/reporting pursuant to</w:t>
            </w:r>
          </w:p>
        </w:tc>
        <w:tc>
          <w:tcPr>
            <w:tcW w:w="7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(check one)</w:t>
            </w:r>
          </w:p>
        </w:tc>
        <w:tc>
          <w:tcPr>
            <w:tcW w:w="7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exchange</w:t>
            </w:r>
          </w:p>
        </w:tc>
        <w:tc>
          <w:tcPr>
            <w:tcW w:w="0" w:type="dxa"/>
            <w:vAlign w:val="bottom"/>
          </w:tcPr>
          <w:p>
            <w:pPr>
              <w:spacing w:after="0"/>
              <w:rPr>
                <w:sz w:val="1"/>
                <w:szCs w:val="1"/>
                <w:color w:val="auto"/>
              </w:rPr>
            </w:pPr>
          </w:p>
        </w:tc>
      </w:tr>
      <w:tr>
        <w:trPr>
          <w:trHeight w:val="149"/>
        </w:trPr>
        <w:tc>
          <w:tcPr>
            <w:tcW w:w="39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Section 12(b)</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Section 12(g)</w:t>
            </w:r>
          </w:p>
        </w:tc>
        <w:tc>
          <w:tcPr>
            <w:tcW w:w="720" w:type="dxa"/>
            <w:vAlign w:val="bottom"/>
          </w:tcPr>
          <w:p>
            <w:pPr>
              <w:spacing w:after="0"/>
              <w:rPr>
                <w:sz w:val="12"/>
                <w:szCs w:val="12"/>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Section 15(d)</w:t>
            </w:r>
          </w:p>
        </w:tc>
        <w:tc>
          <w:tcPr>
            <w:tcW w:w="720" w:type="dxa"/>
            <w:vAlign w:val="bottom"/>
          </w:tcPr>
          <w:p>
            <w:pPr>
              <w:spacing w:after="0"/>
              <w:rPr>
                <w:sz w:val="12"/>
                <w:szCs w:val="12"/>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(If Section 12(b))</w:t>
            </w:r>
          </w:p>
        </w:tc>
        <w:tc>
          <w:tcPr>
            <w:tcW w:w="0" w:type="dxa"/>
            <w:vAlign w:val="bottom"/>
          </w:tcPr>
          <w:p>
            <w:pPr>
              <w:spacing w:after="0"/>
              <w:rPr>
                <w:sz w:val="1"/>
                <w:szCs w:val="1"/>
                <w:color w:val="auto"/>
              </w:rPr>
            </w:pPr>
          </w:p>
        </w:tc>
      </w:tr>
      <w:tr>
        <w:trPr>
          <w:trHeight w:val="189"/>
        </w:trPr>
        <w:tc>
          <w:tcPr>
            <w:tcW w:w="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2"/>
              </w:rPr>
              <w:t>2012 Senior</w:t>
            </w:r>
          </w:p>
        </w:tc>
        <w:tc>
          <w:tcPr>
            <w:tcW w:w="3080" w:type="dxa"/>
            <w:vAlign w:val="bottom"/>
          </w:tcPr>
          <w:p>
            <w:pPr>
              <w:ind w:left="100"/>
              <w:spacing w:after="0" w:line="189" w:lineRule="exact"/>
              <w:rPr>
                <w:sz w:val="20"/>
                <w:szCs w:val="20"/>
                <w:color w:val="auto"/>
              </w:rPr>
            </w:pPr>
            <w:r>
              <w:rPr>
                <w:rFonts w:ascii="Arial" w:cs="Arial" w:eastAsia="Arial" w:hAnsi="Arial"/>
                <w:sz w:val="18"/>
                <w:szCs w:val="18"/>
                <w:color w:val="auto"/>
                <w:w w:val="93"/>
              </w:rPr>
              <w:t>Secured Transition Bonds, Tranche A-1</w:t>
            </w: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w w:val="92"/>
              </w:rPr>
              <w:t>2012 Senior Secured Transition Bonds, Tranche A-2</w:t>
            </w: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w w:val="92"/>
              </w:rPr>
              <w:t>2012 Senior Secured Transition Bonds, Tranche A-3</w:t>
            </w: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20" w:firstLine="45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DISTRIBUTION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Distribution and Pool Performance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1 is set forth in part herein and in part in 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distributions (</w:t>
      </w:r>
      <w:r>
        <w:rPr>
          <w:rFonts w:ascii="Arial" w:cs="Arial" w:eastAsia="Arial" w:hAnsi="Arial"/>
          <w:sz w:val="18"/>
          <w:szCs w:val="18"/>
          <w:i w:val="1"/>
          <w:iCs w:val="1"/>
          <w:color w:val="auto"/>
        </w:rPr>
        <w:t>i.e.</w:t>
      </w:r>
      <w:r>
        <w:rPr>
          <w:rFonts w:ascii="Arial" w:cs="Arial" w:eastAsia="Arial" w:hAnsi="Arial"/>
          <w:sz w:val="18"/>
          <w:szCs w:val="18"/>
          <w:color w:val="auto"/>
        </w:rPr>
        <w:t>, the interest and scheduled principal payments) described in Exhibit 99.1 is April 14, 2015.</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Introductory and explanatory information regarding the material terms, parties and distributions described in Exhibit 99.1 is included in the Prospectus Supplement relating to the 2012 Senior Secured Transition Bonds (the “2012 Transition Bonds”), dated January 11, 2012, and related Prospectus, dated January 3, 2012, of CenterPoint Energy Transition Bond Company IV, LLC (the “Issuing Entity”) filed with the Securities and Exchange Commission (“SEC”) pursuant to Rule 424(b)(2) of the Securities Act of 1933, as amended, on January 12, 2012.</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indicated in Exhibit 99.1, all required interest and scheduled principal payments on the 2012 Transition Bonds have been made with respect to the April 15, 2015 distribution date.</w:t>
      </w:r>
    </w:p>
    <w:p>
      <w:pPr>
        <w:spacing w:after="0" w:line="38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Sales of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C of Form 10-D.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C of Form 10-D.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Significant Obligors of Pool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C of Form 10-D.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Significant Enhancement Provider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C of Form 10-D.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C of Form 10-D.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135"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Documents filed as a part of this report (exhibits marked with an asterisk are filed herewith):</w:t>
      </w:r>
    </w:p>
    <w:p>
      <w:pPr>
        <w:spacing w:after="0" w:line="13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Semi-annual Servicer’s Certificate relating to the 2012 Transition Bonds, dated April 13, 2015.</w:t>
      </w:r>
    </w:p>
    <w:p>
      <w:pPr>
        <w:sectPr>
          <w:pgSz w:w="11900" w:h="16838" w:orient="portrait"/>
          <w:cols w:equalWidth="0" w:num="1">
            <w:col w:w="10920"/>
          </w:cols>
          <w:pgMar w:left="240" w:top="270" w:right="739" w:bottom="1440" w:gutter="0" w:footer="0" w:header="0"/>
        </w:sectPr>
      </w:pPr>
    </w:p>
    <w:bookmarkStart w:id="2" w:name="page3"/>
    <w:bookmarkEnd w:id="2"/>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 required by this Form and Item 601 of Regulation S-K (exhibits marked with an asterisk are filed herewith):</w:t>
      </w:r>
    </w:p>
    <w:p>
      <w:pPr>
        <w:spacing w:after="0" w:line="131" w:lineRule="exact"/>
        <w:rPr>
          <w:sz w:val="20"/>
          <w:szCs w:val="20"/>
          <w:color w:val="auto"/>
        </w:rPr>
      </w:pPr>
    </w:p>
    <w:p>
      <w:pPr>
        <w:ind w:left="1212" w:right="440" w:hanging="562"/>
        <w:spacing w:after="0" w:line="264" w:lineRule="auto"/>
        <w:tabs>
          <w:tab w:leader="none" w:pos="119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Formation of the Issuing Entity filed with the Delaware Secretary of State on October 14, 2011 (incorporated by reference to exhibit 3.3 included as an exhibit to the Issuing Entity’s Registration Statement on Form S-3 (Registration Nos. 333-177662 and 333-177662-01) filed with the SEC on November 2, 2011).</w:t>
      </w:r>
    </w:p>
    <w:p>
      <w:pPr>
        <w:spacing w:after="0" w:line="73" w:lineRule="exact"/>
        <w:rPr>
          <w:sz w:val="20"/>
          <w:szCs w:val="20"/>
          <w:color w:val="auto"/>
        </w:rPr>
      </w:pPr>
    </w:p>
    <w:p>
      <w:pPr>
        <w:ind w:left="1212" w:right="340" w:hanging="562"/>
        <w:spacing w:after="0" w:line="258" w:lineRule="auto"/>
        <w:tabs>
          <w:tab w:leader="none" w:pos="119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Limited Liability Company Agreement of the Issuing Entity dated as of January 19, 2012 (incorporated by reference to exhibit 3.1 included as an exhibit to the Issuing Entity’s Current Report on</w:t>
      </w:r>
    </w:p>
    <w:p>
      <w:pPr>
        <w:spacing w:after="0" w:line="1" w:lineRule="exact"/>
        <w:rPr>
          <w:sz w:val="20"/>
          <w:szCs w:val="20"/>
          <w:color w:val="auto"/>
        </w:rPr>
      </w:pPr>
    </w:p>
    <w:p>
      <w:pPr>
        <w:ind w:left="1212"/>
        <w:spacing w:after="0"/>
        <w:rPr>
          <w:sz w:val="20"/>
          <w:szCs w:val="20"/>
          <w:color w:val="auto"/>
        </w:rPr>
      </w:pPr>
      <w:r>
        <w:rPr>
          <w:rFonts w:ascii="Arial" w:cs="Arial" w:eastAsia="Arial" w:hAnsi="Arial"/>
          <w:sz w:val="18"/>
          <w:szCs w:val="18"/>
          <w:color w:val="auto"/>
        </w:rPr>
        <w:t>Form 8-K (File No. 333-177662-01) filed with the SEC on January 18, 2012).</w:t>
      </w:r>
    </w:p>
    <w:p>
      <w:pPr>
        <w:spacing w:after="0" w:line="103" w:lineRule="exact"/>
        <w:rPr>
          <w:sz w:val="20"/>
          <w:szCs w:val="20"/>
          <w:color w:val="auto"/>
        </w:rPr>
      </w:pPr>
    </w:p>
    <w:p>
      <w:pPr>
        <w:ind w:left="1212" w:right="280" w:hanging="562"/>
        <w:spacing w:after="0" w:line="264" w:lineRule="auto"/>
        <w:tabs>
          <w:tab w:leader="none" w:pos="119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January 19, 2012 by and between the Issuing Entity and Deutsche Bank Trust Company Americas, as Trustee (incorporated by reference to exhibit 4.1 included as an exhibit to the Issuing Entity’s Current Report on Form 8-K (File No. 333-177662-01) filed with the SEC on January 18, 2012).</w:t>
      </w:r>
    </w:p>
    <w:p>
      <w:pPr>
        <w:spacing w:after="0" w:line="73" w:lineRule="exact"/>
        <w:rPr>
          <w:sz w:val="20"/>
          <w:szCs w:val="20"/>
          <w:color w:val="auto"/>
        </w:rPr>
      </w:pPr>
    </w:p>
    <w:p>
      <w:pPr>
        <w:ind w:left="1212" w:right="80" w:hanging="562"/>
        <w:spacing w:after="0" w:line="256" w:lineRule="auto"/>
        <w:tabs>
          <w:tab w:leader="none" w:pos="119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as of January 19, 2012 by and between the Issuing Entity and Deutsche Bank Trust Company Americas, as Trustee, providing for the issuance of the 2012 Transition Bonds (incorporated by reference to exhibit 4.2 included as an exhibit to the Issuing Entity’s Current Report on Form 8-K</w:t>
      </w:r>
    </w:p>
    <w:p>
      <w:pPr>
        <w:ind w:left="1212"/>
        <w:spacing w:after="0"/>
        <w:rPr>
          <w:sz w:val="20"/>
          <w:szCs w:val="20"/>
          <w:color w:val="auto"/>
        </w:rPr>
      </w:pPr>
      <w:r>
        <w:rPr>
          <w:rFonts w:ascii="Arial" w:cs="Arial" w:eastAsia="Arial" w:hAnsi="Arial"/>
          <w:sz w:val="18"/>
          <w:szCs w:val="18"/>
          <w:color w:val="auto"/>
        </w:rPr>
        <w:t>(File No. 333-177662-01) filed with the SEC on January 18, 2012).</w:t>
      </w:r>
    </w:p>
    <w:p>
      <w:pPr>
        <w:spacing w:after="0" w:line="103" w:lineRule="exact"/>
        <w:rPr>
          <w:sz w:val="20"/>
          <w:szCs w:val="20"/>
          <w:color w:val="auto"/>
        </w:rPr>
      </w:pPr>
    </w:p>
    <w:p>
      <w:pPr>
        <w:ind w:left="1212" w:right="60" w:hanging="562"/>
        <w:spacing w:after="0" w:line="264" w:lineRule="auto"/>
        <w:tabs>
          <w:tab w:leader="none" w:pos="119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the 2012 Transition Bonds (included as Exhibit A to the First Supplemental Indenture filed as Exhibit 4.2) (incorporated by reference to exhibit 4.3 included as an exhibit to the Issuing Entity’s Current Report on Form 8-K (File No. 333-177662-01) filed with the SEC on January 18, 2012).</w:t>
      </w:r>
    </w:p>
    <w:p>
      <w:pPr>
        <w:spacing w:after="0" w:line="73" w:lineRule="exact"/>
        <w:rPr>
          <w:sz w:val="20"/>
          <w:szCs w:val="20"/>
          <w:color w:val="auto"/>
        </w:rPr>
      </w:pPr>
    </w:p>
    <w:p>
      <w:pPr>
        <w:ind w:left="1212" w:hanging="652"/>
        <w:spacing w:after="0" w:line="264" w:lineRule="auto"/>
        <w:tabs>
          <w:tab w:leader="none" w:pos="119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Transition Property Sale Agreement dated as of January 19, 2012 by and between the Issuing Entity and CenterPoint Energy Houston Electric, LLC, as seller (incorporated by reference to exhibit 10.1 included as an exhibit to the Issuing Entity’s Current Report on Form 8-K (File No. 333-177662-01) filed with the SEC on January 18, 2012).</w:t>
      </w:r>
    </w:p>
    <w:p>
      <w:pPr>
        <w:spacing w:after="0" w:line="73" w:lineRule="exact"/>
        <w:rPr>
          <w:sz w:val="20"/>
          <w:szCs w:val="20"/>
          <w:color w:val="auto"/>
        </w:rPr>
      </w:pPr>
    </w:p>
    <w:p>
      <w:pPr>
        <w:jc w:val="both"/>
        <w:ind w:left="1212" w:right="360" w:hanging="652"/>
        <w:spacing w:after="0" w:line="286" w:lineRule="auto"/>
        <w:tabs>
          <w:tab w:leader="none" w:pos="119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Transition Property Servicing Agreement dated as of January 19, 2012 by and between the Issuing Entity and CenterPoint Energy Houston Electric, LLC, as servicer (incorporated by reference to exhibit 10.2 included as an exhibit to the Issuing Entity’s Current Report on Form 8-K (File No. 333-177662-01) filed with the SEC on January 18, 2012).</w:t>
      </w:r>
    </w:p>
    <w:p>
      <w:pPr>
        <w:spacing w:after="0" w:line="57" w:lineRule="exact"/>
        <w:rPr>
          <w:sz w:val="20"/>
          <w:szCs w:val="20"/>
          <w:color w:val="auto"/>
        </w:rPr>
      </w:pPr>
    </w:p>
    <w:p>
      <w:pPr>
        <w:jc w:val="both"/>
        <w:ind w:left="1212" w:right="80" w:hanging="652"/>
        <w:spacing w:after="0" w:line="264" w:lineRule="auto"/>
        <w:tabs>
          <w:tab w:leader="none" w:pos="119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Administration Agreement dated as of January 19, 2012 by and between the Issuing Entity and CenterPoint Energy Houston Electric, LLC, as administrator (incorporated by reference to exhibit 10.3 included as an exhibit to the Issuing Entity’s Current Report on Form 8-K (File No. 333-177662-01) filed with the SEC on January 18, 2012).</w:t>
      </w:r>
    </w:p>
    <w:p>
      <w:pPr>
        <w:spacing w:after="0" w:line="73" w:lineRule="exact"/>
        <w:rPr>
          <w:sz w:val="20"/>
          <w:szCs w:val="20"/>
          <w:color w:val="auto"/>
        </w:rPr>
      </w:pPr>
    </w:p>
    <w:p>
      <w:pPr>
        <w:ind w:left="1212" w:right="140" w:hanging="652"/>
        <w:spacing w:after="0" w:line="256" w:lineRule="auto"/>
        <w:tabs>
          <w:tab w:leader="none" w:pos="119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Intercreditor Agreement dated as of January 19, 2012 by and among the Issuing Entity, CenterPoint Energy Houston Electric, LLC, Deutsche Bank Trust Company Americas and various other parties named therein (incorporated by reference to exhibit 10.4 included as an exhibit to the Issuing Entity’s Current Report on</w:t>
      </w:r>
    </w:p>
    <w:p>
      <w:pPr>
        <w:ind w:left="1212"/>
        <w:spacing w:after="0"/>
        <w:rPr>
          <w:sz w:val="20"/>
          <w:szCs w:val="20"/>
          <w:color w:val="auto"/>
        </w:rPr>
      </w:pPr>
      <w:r>
        <w:rPr>
          <w:rFonts w:ascii="Arial" w:cs="Arial" w:eastAsia="Arial" w:hAnsi="Arial"/>
          <w:sz w:val="18"/>
          <w:szCs w:val="18"/>
          <w:color w:val="auto"/>
        </w:rPr>
        <w:t>Form 8-K (File No. 333-177662-01) filed with the SEC on January 18, 2012).</w:t>
      </w:r>
    </w:p>
    <w:p>
      <w:pPr>
        <w:spacing w:after="0" w:line="103" w:lineRule="exact"/>
        <w:rPr>
          <w:sz w:val="20"/>
          <w:szCs w:val="20"/>
          <w:color w:val="auto"/>
        </w:rPr>
      </w:pPr>
    </w:p>
    <w:p>
      <w:pPr>
        <w:ind w:left="452"/>
        <w:spacing w:after="0"/>
        <w:tabs>
          <w:tab w:leader="none" w:pos="1192"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Semi-annual Servicer’s Certificate relating to the 2012 Transition Bonds, dated April 13, 2015.</w:t>
      </w:r>
    </w:p>
    <w:p>
      <w:pPr>
        <w:sectPr>
          <w:pgSz w:w="11900" w:h="16838" w:orient="portrait"/>
          <w:cols w:equalWidth="0" w:num="1">
            <w:col w:w="10932"/>
          </w:cols>
          <w:pgMar w:left="248" w:top="274" w:right="71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CENTERPOINT ENERGY HOUSTON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ELECTRIC,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(Depositor)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Linda Geiger</w:t>
      </w:r>
    </w:p>
    <w:p>
      <w:pPr>
        <w:spacing w:after="0" w:line="23"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color w:val="auto"/>
        </w:rPr>
        <w:t>Title:</w:t>
        <w:tab/>
        <w:t>Assistant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2015</w:t>
      </w:r>
    </w:p>
    <w:p>
      <w:pPr>
        <w:sectPr>
          <w:pgSz w:w="11900" w:h="16838" w:orient="portrait"/>
          <w:cols w:equalWidth="0" w:num="1">
            <w:col w:w="11220"/>
          </w:cols>
          <w:pgMar w:left="240" w:top="270" w:right="43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Semi-annual Servicer’s Certificate relating to the 2012 Transition Bonds, dated April 13, 2015.</w:t>
      </w:r>
    </w:p>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Semiannual Servicer’s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Transition Bond Company IV,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$1,695,000,000 2012 Senior Secured Transition Bonds</w:t>
      </w:r>
    </w:p>
    <w:p>
      <w:pPr>
        <w:spacing w:after="0" w:line="211" w:lineRule="exact"/>
        <w:rPr>
          <w:sz w:val="20"/>
          <w:szCs w:val="20"/>
          <w:color w:val="auto"/>
        </w:rPr>
      </w:pPr>
    </w:p>
    <w:p>
      <w:pPr>
        <w:ind w:left="1140" w:right="1120" w:hanging="1126"/>
        <w:spacing w:after="0" w:line="291" w:lineRule="auto"/>
        <w:rPr>
          <w:sz w:val="20"/>
          <w:szCs w:val="20"/>
          <w:color w:val="auto"/>
        </w:rPr>
      </w:pPr>
      <w:r>
        <w:rPr>
          <w:rFonts w:ascii="Arial" w:cs="Arial" w:eastAsia="Arial" w:hAnsi="Arial"/>
          <w:sz w:val="16"/>
          <w:szCs w:val="16"/>
          <w:color w:val="auto"/>
        </w:rPr>
        <w:t>Pursuant to Section 6.13 of the Transition Property Servicing Agreement (the “Agreement”), dated as of January 19, 2012, between CenterPoint Energy Houston Electric, LLC, as Servicer, and CenterPoint Energy Transition Bond Company IV, LLC, as Issuer,</w:t>
      </w:r>
    </w:p>
    <w:p>
      <w:pPr>
        <w:jc w:val="center"/>
        <w:spacing w:after="0"/>
        <w:rPr>
          <w:sz w:val="20"/>
          <w:szCs w:val="20"/>
          <w:color w:val="auto"/>
        </w:rPr>
      </w:pPr>
      <w:r>
        <w:rPr>
          <w:rFonts w:ascii="Arial" w:cs="Arial" w:eastAsia="Arial" w:hAnsi="Arial"/>
          <w:sz w:val="18"/>
          <w:szCs w:val="18"/>
          <w:color w:val="auto"/>
        </w:rPr>
        <w:t>the Servicer does hereby certify as follows:</w:t>
      </w:r>
    </w:p>
    <w:p>
      <w:pPr>
        <w:spacing w:after="0" w:line="211"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Capitalized terms used in this Semiannual Servicer’s Certificate have their respective meanings as set forth in the Agreement. References herein to certain sections and subsections are references to the respective sections and subsections of the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Collection Periods: October 14, 2014 through April 13,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Date: April 15,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Today’s Date: April 13,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1. Collections Allocable and Aggregate Amounts Available for Current Payment Date:</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6"/>
        </w:trPr>
        <w:tc>
          <w:tcPr>
            <w:tcW w:w="560" w:type="dxa"/>
            <w:vAlign w:val="bottom"/>
          </w:tcPr>
          <w:p>
            <w:pPr>
              <w:ind w:left="220"/>
              <w:spacing w:after="0"/>
              <w:rPr>
                <w:sz w:val="20"/>
                <w:szCs w:val="20"/>
                <w:color w:val="auto"/>
              </w:rPr>
            </w:pPr>
            <w:r>
              <w:rPr>
                <w:rFonts w:ascii="Arial" w:cs="Arial" w:eastAsia="Arial" w:hAnsi="Arial"/>
                <w:sz w:val="18"/>
                <w:szCs w:val="18"/>
                <w:color w:val="auto"/>
              </w:rPr>
              <w:t>i.</w:t>
            </w:r>
          </w:p>
        </w:tc>
        <w:tc>
          <w:tcPr>
            <w:tcW w:w="6580" w:type="dxa"/>
            <w:vAlign w:val="bottom"/>
          </w:tcPr>
          <w:p>
            <w:pPr>
              <w:ind w:left="60"/>
              <w:spacing w:after="0"/>
              <w:rPr>
                <w:sz w:val="20"/>
                <w:szCs w:val="20"/>
                <w:color w:val="auto"/>
              </w:rPr>
            </w:pPr>
            <w:r>
              <w:rPr>
                <w:rFonts w:ascii="Arial" w:cs="Arial" w:eastAsia="Arial" w:hAnsi="Arial"/>
                <w:sz w:val="18"/>
                <w:szCs w:val="18"/>
                <w:color w:val="auto"/>
              </w:rPr>
              <w:t>Remittances for the October 14 through 31, 2014 Collection Period</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16,093,333.06</w:t>
            </w:r>
          </w:p>
        </w:tc>
        <w:tc>
          <w:tcPr>
            <w:tcW w:w="2700" w:type="dxa"/>
            <w:vAlign w:val="bottom"/>
          </w:tcPr>
          <w:p>
            <w:pPr>
              <w:spacing w:after="0"/>
              <w:rPr>
                <w:sz w:val="18"/>
                <w:szCs w:val="18"/>
                <w:color w:val="auto"/>
              </w:rPr>
            </w:pPr>
          </w:p>
        </w:tc>
      </w:tr>
      <w:tr>
        <w:trPr>
          <w:trHeight w:val="216"/>
        </w:trPr>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ii.</w:t>
            </w: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Remittances for the November 1 through 30, 2014 Collection Period</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16,599,097.35</w:t>
            </w:r>
          </w:p>
        </w:tc>
        <w:tc>
          <w:tcPr>
            <w:tcW w:w="2700" w:type="dxa"/>
            <w:vAlign w:val="bottom"/>
            <w:shd w:val="clear" w:color="auto" w:fill="CCEEFF"/>
          </w:tcPr>
          <w:p>
            <w:pPr>
              <w:spacing w:after="0"/>
              <w:rPr>
                <w:sz w:val="18"/>
                <w:szCs w:val="18"/>
                <w:color w:val="auto"/>
              </w:rPr>
            </w:pPr>
          </w:p>
        </w:tc>
      </w:tr>
      <w:tr>
        <w:trPr>
          <w:trHeight w:val="216"/>
        </w:trPr>
        <w:tc>
          <w:tcPr>
            <w:tcW w:w="560" w:type="dxa"/>
            <w:vAlign w:val="bottom"/>
          </w:tcPr>
          <w:p>
            <w:pPr>
              <w:ind w:left="220"/>
              <w:spacing w:after="0"/>
              <w:rPr>
                <w:sz w:val="20"/>
                <w:szCs w:val="20"/>
                <w:color w:val="auto"/>
              </w:rPr>
            </w:pPr>
            <w:r>
              <w:rPr>
                <w:rFonts w:ascii="Arial" w:cs="Arial" w:eastAsia="Arial" w:hAnsi="Arial"/>
                <w:sz w:val="18"/>
                <w:szCs w:val="18"/>
                <w:color w:val="auto"/>
              </w:rPr>
              <w:t>iii.</w:t>
            </w:r>
          </w:p>
        </w:tc>
        <w:tc>
          <w:tcPr>
            <w:tcW w:w="6580" w:type="dxa"/>
            <w:vAlign w:val="bottom"/>
          </w:tcPr>
          <w:p>
            <w:pPr>
              <w:ind w:left="60"/>
              <w:spacing w:after="0"/>
              <w:rPr>
                <w:sz w:val="20"/>
                <w:szCs w:val="20"/>
                <w:color w:val="auto"/>
              </w:rPr>
            </w:pPr>
            <w:r>
              <w:rPr>
                <w:rFonts w:ascii="Arial" w:cs="Arial" w:eastAsia="Arial" w:hAnsi="Arial"/>
                <w:sz w:val="18"/>
                <w:szCs w:val="18"/>
                <w:color w:val="auto"/>
              </w:rPr>
              <w:t>Remittances for the December 1 through 31, 2014 Collection Period</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19,628,779.90</w:t>
            </w:r>
          </w:p>
        </w:tc>
        <w:tc>
          <w:tcPr>
            <w:tcW w:w="2700" w:type="dxa"/>
            <w:vAlign w:val="bottom"/>
          </w:tcPr>
          <w:p>
            <w:pPr>
              <w:spacing w:after="0"/>
              <w:rPr>
                <w:sz w:val="18"/>
                <w:szCs w:val="18"/>
                <w:color w:val="auto"/>
              </w:rPr>
            </w:pPr>
          </w:p>
        </w:tc>
      </w:tr>
      <w:tr>
        <w:trPr>
          <w:trHeight w:val="216"/>
        </w:trPr>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iv.</w:t>
            </w: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Remittances for the January 1 through 31, 2015 Collection Period</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14,143,279.45</w:t>
            </w:r>
          </w:p>
        </w:tc>
        <w:tc>
          <w:tcPr>
            <w:tcW w:w="2700" w:type="dxa"/>
            <w:vAlign w:val="bottom"/>
            <w:shd w:val="clear" w:color="auto" w:fill="CCEEFF"/>
          </w:tcPr>
          <w:p>
            <w:pPr>
              <w:spacing w:after="0"/>
              <w:rPr>
                <w:sz w:val="18"/>
                <w:szCs w:val="18"/>
                <w:color w:val="auto"/>
              </w:rPr>
            </w:pPr>
          </w:p>
        </w:tc>
      </w:tr>
      <w:tr>
        <w:trPr>
          <w:trHeight w:val="216"/>
        </w:trPr>
        <w:tc>
          <w:tcPr>
            <w:tcW w:w="560" w:type="dxa"/>
            <w:vAlign w:val="bottom"/>
          </w:tcPr>
          <w:p>
            <w:pPr>
              <w:ind w:left="220"/>
              <w:spacing w:after="0"/>
              <w:rPr>
                <w:sz w:val="20"/>
                <w:szCs w:val="20"/>
                <w:color w:val="auto"/>
              </w:rPr>
            </w:pPr>
            <w:r>
              <w:rPr>
                <w:rFonts w:ascii="Arial" w:cs="Arial" w:eastAsia="Arial" w:hAnsi="Arial"/>
                <w:sz w:val="18"/>
                <w:szCs w:val="18"/>
                <w:color w:val="auto"/>
              </w:rPr>
              <w:t>v.</w:t>
            </w:r>
          </w:p>
        </w:tc>
        <w:tc>
          <w:tcPr>
            <w:tcW w:w="6580" w:type="dxa"/>
            <w:vAlign w:val="bottom"/>
          </w:tcPr>
          <w:p>
            <w:pPr>
              <w:ind w:left="60"/>
              <w:spacing w:after="0"/>
              <w:rPr>
                <w:sz w:val="20"/>
                <w:szCs w:val="20"/>
                <w:color w:val="auto"/>
              </w:rPr>
            </w:pPr>
            <w:r>
              <w:rPr>
                <w:rFonts w:ascii="Arial" w:cs="Arial" w:eastAsia="Arial" w:hAnsi="Arial"/>
                <w:sz w:val="18"/>
                <w:szCs w:val="18"/>
                <w:color w:val="auto"/>
              </w:rPr>
              <w:t>Remittances for the February 1 through 28, 2015 Collection Period</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9,651,903.71</w:t>
            </w:r>
          </w:p>
        </w:tc>
        <w:tc>
          <w:tcPr>
            <w:tcW w:w="2700" w:type="dxa"/>
            <w:vAlign w:val="bottom"/>
          </w:tcPr>
          <w:p>
            <w:pPr>
              <w:spacing w:after="0"/>
              <w:rPr>
                <w:sz w:val="18"/>
                <w:szCs w:val="18"/>
                <w:color w:val="auto"/>
              </w:rPr>
            </w:pPr>
          </w:p>
        </w:tc>
      </w:tr>
      <w:tr>
        <w:trPr>
          <w:trHeight w:val="216"/>
        </w:trPr>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w:t>
            </w: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Remittances for the March 1 through 31, 2015 Collection Period</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7,936,505.13</w:t>
            </w:r>
          </w:p>
        </w:tc>
        <w:tc>
          <w:tcPr>
            <w:tcW w:w="2700" w:type="dxa"/>
            <w:vAlign w:val="bottom"/>
            <w:shd w:val="clear" w:color="auto" w:fill="CCEEFF"/>
          </w:tcPr>
          <w:p>
            <w:pPr>
              <w:spacing w:after="0"/>
              <w:rPr>
                <w:sz w:val="18"/>
                <w:szCs w:val="18"/>
                <w:color w:val="auto"/>
              </w:rPr>
            </w:pPr>
          </w:p>
        </w:tc>
      </w:tr>
      <w:tr>
        <w:trPr>
          <w:trHeight w:val="216"/>
        </w:trPr>
        <w:tc>
          <w:tcPr>
            <w:tcW w:w="560" w:type="dxa"/>
            <w:vAlign w:val="bottom"/>
          </w:tcPr>
          <w:p>
            <w:pPr>
              <w:ind w:left="220"/>
              <w:spacing w:after="0"/>
              <w:rPr>
                <w:sz w:val="20"/>
                <w:szCs w:val="20"/>
                <w:color w:val="auto"/>
              </w:rPr>
            </w:pPr>
            <w:r>
              <w:rPr>
                <w:rFonts w:ascii="Arial" w:cs="Arial" w:eastAsia="Arial" w:hAnsi="Arial"/>
                <w:sz w:val="18"/>
                <w:szCs w:val="18"/>
                <w:color w:val="auto"/>
              </w:rPr>
              <w:t>vii.</w:t>
            </w:r>
          </w:p>
        </w:tc>
        <w:tc>
          <w:tcPr>
            <w:tcW w:w="6580" w:type="dxa"/>
            <w:vAlign w:val="bottom"/>
          </w:tcPr>
          <w:p>
            <w:pPr>
              <w:ind w:left="60"/>
              <w:spacing w:after="0"/>
              <w:rPr>
                <w:sz w:val="20"/>
                <w:szCs w:val="20"/>
                <w:color w:val="auto"/>
              </w:rPr>
            </w:pPr>
            <w:r>
              <w:rPr>
                <w:rFonts w:ascii="Arial" w:cs="Arial" w:eastAsia="Arial" w:hAnsi="Arial"/>
                <w:sz w:val="18"/>
                <w:szCs w:val="18"/>
                <w:color w:val="auto"/>
              </w:rPr>
              <w:t>Remittances for the April 1 through 13, 2015 Collection Period</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3,382,237.43</w:t>
            </w:r>
          </w:p>
        </w:tc>
        <w:tc>
          <w:tcPr>
            <w:tcW w:w="2700" w:type="dxa"/>
            <w:vAlign w:val="bottom"/>
          </w:tcPr>
          <w:p>
            <w:pPr>
              <w:spacing w:after="0"/>
              <w:rPr>
                <w:sz w:val="18"/>
                <w:szCs w:val="18"/>
                <w:color w:val="auto"/>
              </w:rPr>
            </w:pPr>
          </w:p>
        </w:tc>
      </w:tr>
      <w:tr>
        <w:trPr>
          <w:trHeight w:val="216"/>
        </w:trPr>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viii.</w:t>
            </w: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Earnings on General Subaccount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7,533.41</w:t>
            </w:r>
          </w:p>
        </w:tc>
        <w:tc>
          <w:tcPr>
            <w:tcW w:w="2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10/1/14 through 3/31/15</w:t>
            </w:r>
          </w:p>
        </w:tc>
      </w:tr>
      <w:tr>
        <w:trPr>
          <w:trHeight w:val="223"/>
        </w:trPr>
        <w:tc>
          <w:tcPr>
            <w:tcW w:w="560" w:type="dxa"/>
            <w:vAlign w:val="bottom"/>
          </w:tcPr>
          <w:p>
            <w:pPr>
              <w:ind w:left="220"/>
              <w:spacing w:after="0"/>
              <w:rPr>
                <w:sz w:val="20"/>
                <w:szCs w:val="20"/>
                <w:color w:val="auto"/>
              </w:rPr>
            </w:pPr>
            <w:r>
              <w:rPr>
                <w:rFonts w:ascii="Arial" w:cs="Arial" w:eastAsia="Arial" w:hAnsi="Arial"/>
                <w:sz w:val="18"/>
                <w:szCs w:val="18"/>
                <w:color w:val="auto"/>
              </w:rPr>
              <w:t>ix.</w:t>
            </w:r>
          </w:p>
        </w:tc>
        <w:tc>
          <w:tcPr>
            <w:tcW w:w="6580" w:type="dxa"/>
            <w:vAlign w:val="bottom"/>
          </w:tcPr>
          <w:p>
            <w:pPr>
              <w:ind w:left="60"/>
              <w:spacing w:after="0"/>
              <w:rPr>
                <w:sz w:val="20"/>
                <w:szCs w:val="20"/>
                <w:color w:val="auto"/>
              </w:rPr>
            </w:pPr>
            <w:r>
              <w:rPr>
                <w:rFonts w:ascii="Arial" w:cs="Arial" w:eastAsia="Arial" w:hAnsi="Arial"/>
                <w:sz w:val="18"/>
                <w:szCs w:val="18"/>
                <w:color w:val="auto"/>
              </w:rPr>
              <w:t>General Subaccount Balance (sum of i through viii above)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87,442,669.44</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115"/>
        </w:trPr>
        <w:tc>
          <w:tcPr>
            <w:tcW w:w="56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216"/>
        </w:trPr>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Excess Funds Subaccount Balance as of Current Payment Date</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32,576,581.66</w:t>
            </w:r>
          </w:p>
        </w:tc>
        <w:tc>
          <w:tcPr>
            <w:tcW w:w="2700" w:type="dxa"/>
            <w:vAlign w:val="bottom"/>
            <w:shd w:val="clear" w:color="auto" w:fill="CCEEFF"/>
          </w:tcPr>
          <w:p>
            <w:pPr>
              <w:spacing w:after="0"/>
              <w:rPr>
                <w:sz w:val="18"/>
                <w:szCs w:val="18"/>
                <w:color w:val="auto"/>
              </w:rPr>
            </w:pPr>
          </w:p>
        </w:tc>
      </w:tr>
      <w:tr>
        <w:trPr>
          <w:trHeight w:val="216"/>
        </w:trPr>
        <w:tc>
          <w:tcPr>
            <w:tcW w:w="560" w:type="dxa"/>
            <w:vAlign w:val="bottom"/>
          </w:tcPr>
          <w:p>
            <w:pPr>
              <w:ind w:left="220"/>
              <w:spacing w:after="0"/>
              <w:rPr>
                <w:sz w:val="20"/>
                <w:szCs w:val="20"/>
                <w:color w:val="auto"/>
              </w:rPr>
            </w:pPr>
            <w:r>
              <w:rPr>
                <w:rFonts w:ascii="Arial" w:cs="Arial" w:eastAsia="Arial" w:hAnsi="Arial"/>
                <w:sz w:val="18"/>
                <w:szCs w:val="18"/>
                <w:color w:val="auto"/>
              </w:rPr>
              <w:t>xi.</w:t>
            </w:r>
          </w:p>
        </w:tc>
        <w:tc>
          <w:tcPr>
            <w:tcW w:w="6580" w:type="dxa"/>
            <w:vAlign w:val="bottom"/>
          </w:tcPr>
          <w:p>
            <w:pPr>
              <w:ind w:left="60"/>
              <w:spacing w:after="0"/>
              <w:rPr>
                <w:sz w:val="20"/>
                <w:szCs w:val="20"/>
                <w:color w:val="auto"/>
              </w:rPr>
            </w:pPr>
            <w:r>
              <w:rPr>
                <w:rFonts w:ascii="Arial" w:cs="Arial" w:eastAsia="Arial" w:hAnsi="Arial"/>
                <w:sz w:val="18"/>
                <w:szCs w:val="18"/>
                <w:color w:val="auto"/>
              </w:rPr>
              <w:t>Capital Subaccount Balance as of Current Payment Date (1)</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8,476,193.25</w:t>
            </w:r>
          </w:p>
        </w:tc>
        <w:tc>
          <w:tcPr>
            <w:tcW w:w="2700" w:type="dxa"/>
            <w:vAlign w:val="bottom"/>
          </w:tcPr>
          <w:p>
            <w:pPr>
              <w:spacing w:after="0"/>
              <w:rPr>
                <w:sz w:val="18"/>
                <w:szCs w:val="18"/>
                <w:color w:val="auto"/>
              </w:rPr>
            </w:pPr>
          </w:p>
        </w:tc>
      </w:tr>
      <w:tr>
        <w:trPr>
          <w:trHeight w:val="27"/>
        </w:trPr>
        <w:tc>
          <w:tcPr>
            <w:tcW w:w="5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16"/>
        </w:trPr>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xii.</w:t>
            </w: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Collection Account Balance (sum of ix through xi above)</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128,495,444.35</w:t>
            </w:r>
          </w:p>
        </w:tc>
        <w:tc>
          <w:tcPr>
            <w:tcW w:w="2700" w:type="dxa"/>
            <w:vAlign w:val="bottom"/>
            <w:shd w:val="clear" w:color="auto" w:fill="CCEEFF"/>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00" w:hanging="384"/>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Including current period earnings of $1,193.25</w:t>
      </w:r>
    </w:p>
    <w:p>
      <w:pPr>
        <w:spacing w:after="0" w:line="113"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Outstanding Amounts as of Prior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i.</w:t>
            </w:r>
          </w:p>
        </w:tc>
        <w:tc>
          <w:tcPr>
            <w:tcW w:w="6520" w:type="dxa"/>
            <w:vAlign w:val="bottom"/>
            <w:gridSpan w:val="2"/>
          </w:tcPr>
          <w:p>
            <w:pPr>
              <w:spacing w:after="0"/>
              <w:rPr>
                <w:sz w:val="20"/>
                <w:szCs w:val="20"/>
                <w:color w:val="auto"/>
              </w:rPr>
            </w:pPr>
            <w:r>
              <w:rPr>
                <w:rFonts w:ascii="Arial" w:cs="Arial" w:eastAsia="Arial" w:hAnsi="Arial"/>
                <w:sz w:val="18"/>
                <w:szCs w:val="18"/>
                <w:color w:val="auto"/>
              </w:rPr>
              <w:t>Tranche A-1 Principal Balance</w:t>
            </w: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306,809,518.00</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ii.</w:t>
            </w: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A-2 Principal Balance</w:t>
            </w: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407,516,000.00</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iii</w:t>
            </w:r>
          </w:p>
        </w:tc>
        <w:tc>
          <w:tcPr>
            <w:tcW w:w="6520" w:type="dxa"/>
            <w:vAlign w:val="bottom"/>
            <w:gridSpan w:val="2"/>
          </w:tcPr>
          <w:p>
            <w:pPr>
              <w:spacing w:after="0"/>
              <w:rPr>
                <w:sz w:val="20"/>
                <w:szCs w:val="20"/>
                <w:color w:val="auto"/>
              </w:rPr>
            </w:pPr>
            <w:r>
              <w:rPr>
                <w:rFonts w:ascii="Arial" w:cs="Arial" w:eastAsia="Arial" w:hAnsi="Arial"/>
                <w:sz w:val="18"/>
                <w:szCs w:val="18"/>
                <w:color w:val="auto"/>
              </w:rPr>
              <w:t>Tranche A-3 Principal Balance</w:t>
            </w: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681,262,000.00</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iv.</w:t>
            </w: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Principal Balance of all Series 2012 Transition Bonds</w:t>
            </w: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1,395,587,518.</w:t>
            </w:r>
            <w:r>
              <w:rPr>
                <w:rFonts w:ascii="Arial" w:cs="Arial" w:eastAsia="Arial" w:hAnsi="Arial"/>
                <w:sz w:val="18"/>
                <w:szCs w:val="18"/>
                <w:u w:val="single" w:color="auto"/>
                <w:color w:val="auto"/>
                <w:w w:val="92"/>
              </w:rPr>
              <w:t>00</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Required Funding/Payments as of Current Payment Date:</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4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Projected</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6520" w:type="dxa"/>
            <w:vAlign w:val="bottom"/>
            <w:gridSpan w:val="2"/>
            <w:vMerge w:val="restart"/>
          </w:tcPr>
          <w:p>
            <w:pPr>
              <w:spacing w:after="0"/>
              <w:rPr>
                <w:sz w:val="20"/>
                <w:szCs w:val="20"/>
                <w:color w:val="auto"/>
              </w:rPr>
            </w:pPr>
            <w:r>
              <w:rPr>
                <w:rFonts w:ascii="Arial" w:cs="Arial" w:eastAsia="Arial" w:hAnsi="Arial"/>
                <w:sz w:val="14"/>
                <w:szCs w:val="14"/>
                <w:color w:val="auto"/>
              </w:rPr>
              <w:t>Principal</w:t>
            </w: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Principal</w:t>
            </w: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Semiannual</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3"/>
                <w:szCs w:val="13"/>
                <w:color w:val="auto"/>
              </w:rPr>
            </w:pPr>
          </w:p>
        </w:tc>
        <w:tc>
          <w:tcPr>
            <w:tcW w:w="6520" w:type="dxa"/>
            <w:vAlign w:val="bottom"/>
            <w:gridSpan w:val="2"/>
            <w:vMerge w:val="continue"/>
          </w:tcPr>
          <w:p>
            <w:pPr>
              <w:spacing w:after="0"/>
              <w:rPr>
                <w:sz w:val="13"/>
                <w:szCs w:val="13"/>
                <w:color w:val="auto"/>
              </w:rPr>
            </w:pPr>
          </w:p>
        </w:tc>
        <w:tc>
          <w:tcPr>
            <w:tcW w:w="1800" w:type="dxa"/>
            <w:vAlign w:val="bottom"/>
            <w:gridSpan w:val="2"/>
          </w:tcPr>
          <w:p>
            <w:pPr>
              <w:jc w:val="center"/>
              <w:ind w:right="480"/>
              <w:spacing w:after="0" w:line="154" w:lineRule="exact"/>
              <w:rPr>
                <w:sz w:val="20"/>
                <w:szCs w:val="20"/>
                <w:color w:val="auto"/>
              </w:rPr>
            </w:pPr>
            <w:r>
              <w:rPr>
                <w:rFonts w:ascii="Arial" w:cs="Arial" w:eastAsia="Arial" w:hAnsi="Arial"/>
                <w:sz w:val="14"/>
                <w:szCs w:val="14"/>
                <w:color w:val="auto"/>
                <w:w w:val="94"/>
              </w:rPr>
              <w:t>Balance</w:t>
            </w:r>
          </w:p>
        </w:tc>
        <w:tc>
          <w:tcPr>
            <w:tcW w:w="130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6"/>
              </w:rPr>
              <w:t>Principal Due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w:t>
            </w: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A-1</w:t>
            </w: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246,242,850.00</w:t>
            </w:r>
          </w:p>
        </w:tc>
        <w:tc>
          <w:tcPr>
            <w:tcW w:w="1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60,566,668.00</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ii.</w:t>
            </w:r>
          </w:p>
        </w:tc>
        <w:tc>
          <w:tcPr>
            <w:tcW w:w="6520" w:type="dxa"/>
            <w:vAlign w:val="bottom"/>
            <w:gridSpan w:val="2"/>
          </w:tcPr>
          <w:p>
            <w:pPr>
              <w:spacing w:after="0"/>
              <w:rPr>
                <w:sz w:val="20"/>
                <w:szCs w:val="20"/>
                <w:color w:val="auto"/>
              </w:rPr>
            </w:pPr>
            <w:r>
              <w:rPr>
                <w:rFonts w:ascii="Arial" w:cs="Arial" w:eastAsia="Arial" w:hAnsi="Arial"/>
                <w:sz w:val="18"/>
                <w:szCs w:val="18"/>
                <w:color w:val="auto"/>
              </w:rPr>
              <w:t>Tranche A-2</w:t>
            </w: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407,516,000.00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iii.</w:t>
            </w: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A-3</w:t>
            </w: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681,262,000.00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Pr>
          <w:p>
            <w:pPr>
              <w:ind w:left="220"/>
              <w:spacing w:after="0"/>
              <w:rPr>
                <w:sz w:val="20"/>
                <w:szCs w:val="20"/>
                <w:color w:val="auto"/>
              </w:rPr>
            </w:pPr>
            <w:r>
              <w:rPr>
                <w:rFonts w:ascii="Arial" w:cs="Arial" w:eastAsia="Arial" w:hAnsi="Arial"/>
                <w:sz w:val="18"/>
                <w:szCs w:val="18"/>
                <w:color w:val="auto"/>
              </w:rPr>
              <w:t>iv.</w:t>
            </w:r>
          </w:p>
        </w:tc>
        <w:tc>
          <w:tcPr>
            <w:tcW w:w="6520" w:type="dxa"/>
            <w:vAlign w:val="bottom"/>
            <w:gridSpan w:val="2"/>
          </w:tcPr>
          <w:p>
            <w:pPr>
              <w:spacing w:after="0"/>
              <w:rPr>
                <w:sz w:val="20"/>
                <w:szCs w:val="20"/>
                <w:color w:val="auto"/>
              </w:rPr>
            </w:pPr>
            <w:r>
              <w:rPr>
                <w:rFonts w:ascii="Arial" w:cs="Arial" w:eastAsia="Arial" w:hAnsi="Arial"/>
                <w:sz w:val="18"/>
                <w:szCs w:val="18"/>
                <w:color w:val="auto"/>
              </w:rPr>
              <w:t>For all Series 2012 Transition Bonds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1,335,020,850.</w:t>
            </w:r>
            <w:r>
              <w:rPr>
                <w:rFonts w:ascii="Arial" w:cs="Arial" w:eastAsia="Arial" w:hAnsi="Arial"/>
                <w:sz w:val="18"/>
                <w:szCs w:val="18"/>
                <w:u w:val="single" w:color="auto"/>
                <w:color w:val="auto"/>
                <w:w w:val="92"/>
              </w:rPr>
              <w:t>00</w:t>
            </w:r>
          </w:p>
        </w:tc>
        <w:tc>
          <w:tcPr>
            <w:tcW w:w="4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60,566,668.</w:t>
            </w:r>
            <w:r>
              <w:rPr>
                <w:rFonts w:ascii="Arial" w:cs="Arial" w:eastAsia="Arial" w:hAnsi="Arial"/>
                <w:sz w:val="18"/>
                <w:szCs w:val="18"/>
                <w:u w:val="single" w:color="auto"/>
                <w:color w:val="auto"/>
                <w:w w:val="88"/>
              </w:rPr>
              <w:t>00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Transition</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Days in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Bond</w:t>
            </w: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Interest</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Interest Rate</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Period (1)</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Interest Due</w:t>
            </w:r>
          </w:p>
        </w:tc>
        <w:tc>
          <w:tcPr>
            <w:tcW w:w="0" w:type="dxa"/>
            <w:vAlign w:val="bottom"/>
          </w:tcPr>
          <w:p>
            <w:pPr>
              <w:spacing w:after="0"/>
              <w:rPr>
                <w:sz w:val="1"/>
                <w:szCs w:val="1"/>
                <w:color w:val="auto"/>
              </w:rPr>
            </w:pPr>
          </w:p>
        </w:tc>
      </w:tr>
      <w:tr>
        <w:trPr>
          <w:trHeight w:val="88"/>
        </w:trPr>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2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w:t>
            </w: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Tranche A-1 Interest</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0.9012%</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1,382,483.69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220"/>
              <w:spacing w:after="0"/>
              <w:rPr>
                <w:sz w:val="20"/>
                <w:szCs w:val="20"/>
                <w:color w:val="auto"/>
              </w:rPr>
            </w:pPr>
            <w:r>
              <w:rPr>
                <w:rFonts w:ascii="Arial" w:cs="Arial" w:eastAsia="Arial" w:hAnsi="Arial"/>
                <w:sz w:val="18"/>
                <w:szCs w:val="18"/>
                <w:color w:val="auto"/>
              </w:rPr>
              <w:t>vi.</w:t>
            </w:r>
          </w:p>
        </w:tc>
        <w:tc>
          <w:tcPr>
            <w:tcW w:w="6520" w:type="dxa"/>
            <w:vAlign w:val="bottom"/>
            <w:gridSpan w:val="2"/>
          </w:tcPr>
          <w:p>
            <w:pPr>
              <w:spacing w:after="0"/>
              <w:rPr>
                <w:sz w:val="20"/>
                <w:szCs w:val="20"/>
                <w:color w:val="auto"/>
              </w:rPr>
            </w:pPr>
            <w:r>
              <w:rPr>
                <w:rFonts w:ascii="Arial" w:cs="Arial" w:eastAsia="Arial" w:hAnsi="Arial"/>
                <w:sz w:val="18"/>
                <w:szCs w:val="18"/>
                <w:color w:val="auto"/>
              </w:rPr>
              <w:t>Required Tranche A-2 Interest</w:t>
            </w:r>
          </w:p>
        </w:tc>
        <w:tc>
          <w:tcPr>
            <w:tcW w:w="1320" w:type="dxa"/>
            <w:vAlign w:val="bottom"/>
          </w:tcPr>
          <w:p>
            <w:pPr>
              <w:jc w:val="right"/>
              <w:ind w:right="216"/>
              <w:spacing w:after="0"/>
              <w:rPr>
                <w:sz w:val="20"/>
                <w:szCs w:val="20"/>
                <w:color w:val="auto"/>
              </w:rPr>
            </w:pPr>
            <w:r>
              <w:rPr>
                <w:rFonts w:ascii="Arial" w:cs="Arial" w:eastAsia="Arial" w:hAnsi="Arial"/>
                <w:sz w:val="18"/>
                <w:szCs w:val="18"/>
                <w:color w:val="auto"/>
              </w:rPr>
              <w:t>2.1606%</w:t>
            </w:r>
          </w:p>
        </w:tc>
        <w:tc>
          <w:tcPr>
            <w:tcW w:w="4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180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4,402,395.35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vii.</w:t>
            </w: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Tranche A-3 Interest</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3.0282%</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10,314,987.94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On 30/360 Day basis.</w:t>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320" w:type="dxa"/>
            <w:vAlign w:val="bottom"/>
            <w:gridSpan w:val="2"/>
          </w:tcPr>
          <w:p>
            <w:pPr>
              <w:jc w:val="center"/>
              <w:ind w:right="820"/>
              <w:spacing w:after="0"/>
              <w:rPr>
                <w:sz w:val="20"/>
                <w:szCs w:val="20"/>
                <w:color w:val="auto"/>
              </w:rPr>
            </w:pPr>
            <w:r>
              <w:rPr>
                <w:rFonts w:ascii="Arial" w:cs="Arial" w:eastAsia="Arial" w:hAnsi="Arial"/>
                <w:sz w:val="14"/>
                <w:szCs w:val="14"/>
                <w:color w:val="auto"/>
                <w:w w:val="95"/>
              </w:rPr>
              <w:t>Required Level</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9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32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4"/>
              </w:rPr>
              <w:t>(Including Replenishment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9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32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6"/>
              </w:rPr>
              <w:t>of Amounts Previously</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Funding</w:t>
            </w:r>
          </w:p>
        </w:tc>
      </w:tr>
      <w:tr>
        <w:trPr>
          <w:trHeight w:val="167"/>
        </w:trPr>
        <w:tc>
          <w:tcPr>
            <w:tcW w:w="9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320" w:type="dxa"/>
            <w:vAlign w:val="bottom"/>
            <w:gridSpan w:val="2"/>
          </w:tcPr>
          <w:p>
            <w:pPr>
              <w:jc w:val="center"/>
              <w:ind w:right="820"/>
              <w:spacing w:after="0"/>
              <w:rPr>
                <w:sz w:val="20"/>
                <w:szCs w:val="20"/>
                <w:color w:val="auto"/>
              </w:rPr>
            </w:pPr>
            <w:r>
              <w:rPr>
                <w:rFonts w:ascii="Arial" w:cs="Arial" w:eastAsia="Arial" w:hAnsi="Arial"/>
                <w:sz w:val="14"/>
                <w:szCs w:val="14"/>
                <w:color w:val="auto"/>
                <w:w w:val="99"/>
              </w:rPr>
              <w:t>Withdrawn for 4.i.-4.viii.)</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Required*</w:t>
            </w:r>
          </w:p>
        </w:tc>
      </w:tr>
      <w:tr>
        <w:trPr>
          <w:trHeight w:val="88"/>
        </w:trPr>
        <w:tc>
          <w:tcPr>
            <w:tcW w:w="940" w:type="dxa"/>
            <w:vAlign w:val="bottom"/>
          </w:tcPr>
          <w:p>
            <w:pPr>
              <w:spacing w:after="0"/>
              <w:rPr>
                <w:sz w:val="7"/>
                <w:szCs w:val="7"/>
                <w:color w:val="auto"/>
              </w:rPr>
            </w:pPr>
          </w:p>
        </w:tc>
        <w:tc>
          <w:tcPr>
            <w:tcW w:w="704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viii.</w:t>
            </w: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Subaccount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8,475,000.00</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540" w:hanging="411"/>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Includes $0.00 of prior period unreleased earnings.</w:t>
      </w:r>
    </w:p>
    <w:p>
      <w:pPr>
        <w:spacing w:after="0" w:line="113"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 of Remittances as of Current Payment Date Pursuant to Section 8.02(d) of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ind w:left="460"/>
              <w:spacing w:after="0"/>
              <w:rPr>
                <w:sz w:val="20"/>
                <w:szCs w:val="20"/>
                <w:color w:val="auto"/>
              </w:rPr>
            </w:pPr>
            <w:r>
              <w:rPr>
                <w:rFonts w:ascii="Arial" w:cs="Arial" w:eastAsia="Arial" w:hAnsi="Arial"/>
                <w:sz w:val="18"/>
                <w:szCs w:val="18"/>
                <w:color w:val="auto"/>
              </w:rPr>
              <w:t>i.</w:t>
            </w:r>
          </w:p>
        </w:tc>
        <w:tc>
          <w:tcPr>
            <w:tcW w:w="5780" w:type="dxa"/>
            <w:vAlign w:val="bottom"/>
          </w:tcPr>
          <w:p>
            <w:pPr>
              <w:ind w:left="220"/>
              <w:spacing w:after="0"/>
              <w:rPr>
                <w:sz w:val="20"/>
                <w:szCs w:val="20"/>
                <w:color w:val="auto"/>
              </w:rPr>
            </w:pPr>
            <w:r>
              <w:rPr>
                <w:rFonts w:ascii="Arial" w:cs="Arial" w:eastAsia="Arial" w:hAnsi="Arial"/>
                <w:sz w:val="18"/>
                <w:szCs w:val="18"/>
                <w:color w:val="auto"/>
              </w:rPr>
              <w:t>Trustee Fees and Expenses</w:t>
            </w:r>
          </w:p>
        </w:tc>
        <w:tc>
          <w:tcPr>
            <w:tcW w:w="2800" w:type="dxa"/>
            <w:vAlign w:val="bottom"/>
          </w:tcPr>
          <w:p>
            <w:pPr>
              <w:jc w:val="right"/>
              <w:spacing w:after="0"/>
              <w:rPr>
                <w:sz w:val="20"/>
                <w:szCs w:val="20"/>
                <w:color w:val="auto"/>
              </w:rPr>
            </w:pPr>
            <w:r>
              <w:rPr>
                <w:rFonts w:ascii="Arial" w:cs="Arial" w:eastAsia="Arial" w:hAnsi="Arial"/>
                <w:sz w:val="18"/>
                <w:szCs w:val="18"/>
                <w:color w:val="auto"/>
              </w:rPr>
              <w:t>31,500.00</w:t>
            </w:r>
          </w:p>
        </w:tc>
        <w:tc>
          <w:tcPr>
            <w:tcW w:w="1940" w:type="dxa"/>
            <w:vAlign w:val="bottom"/>
          </w:tcPr>
          <w:p>
            <w:pPr>
              <w:spacing w:after="0"/>
              <w:rPr>
                <w:sz w:val="18"/>
                <w:szCs w:val="18"/>
                <w:color w:val="auto"/>
              </w:rPr>
            </w:pPr>
          </w:p>
        </w:tc>
      </w:tr>
      <w:tr>
        <w:trPr>
          <w:trHeight w:val="216"/>
        </w:trPr>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ii.</w:t>
            </w:r>
          </w:p>
        </w:tc>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Servicing Fee</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423,750.00</w:t>
            </w:r>
          </w:p>
        </w:tc>
        <w:tc>
          <w:tcPr>
            <w:tcW w:w="194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w w:val="81"/>
              </w:rPr>
              <w:t>(1)</w:t>
            </w:r>
          </w:p>
        </w:tc>
      </w:tr>
      <w:tr>
        <w:trPr>
          <w:trHeight w:val="216"/>
        </w:trPr>
        <w:tc>
          <w:tcPr>
            <w:tcW w:w="900" w:type="dxa"/>
            <w:vAlign w:val="bottom"/>
          </w:tcPr>
          <w:p>
            <w:pPr>
              <w:ind w:left="460"/>
              <w:spacing w:after="0"/>
              <w:rPr>
                <w:sz w:val="20"/>
                <w:szCs w:val="20"/>
                <w:color w:val="auto"/>
              </w:rPr>
            </w:pPr>
            <w:r>
              <w:rPr>
                <w:rFonts w:ascii="Arial" w:cs="Arial" w:eastAsia="Arial" w:hAnsi="Arial"/>
                <w:sz w:val="18"/>
                <w:szCs w:val="18"/>
                <w:color w:val="auto"/>
              </w:rPr>
              <w:t>iii.</w:t>
            </w:r>
          </w:p>
        </w:tc>
        <w:tc>
          <w:tcPr>
            <w:tcW w:w="5780" w:type="dxa"/>
            <w:vAlign w:val="bottom"/>
          </w:tcPr>
          <w:p>
            <w:pPr>
              <w:ind w:left="220"/>
              <w:spacing w:after="0"/>
              <w:rPr>
                <w:sz w:val="20"/>
                <w:szCs w:val="20"/>
                <w:color w:val="auto"/>
              </w:rPr>
            </w:pPr>
            <w:r>
              <w:rPr>
                <w:rFonts w:ascii="Arial" w:cs="Arial" w:eastAsia="Arial" w:hAnsi="Arial"/>
                <w:sz w:val="18"/>
                <w:szCs w:val="18"/>
                <w:color w:val="auto"/>
              </w:rPr>
              <w:t>Administration Fee and Independent Manager Fee</w:t>
            </w:r>
          </w:p>
        </w:tc>
        <w:tc>
          <w:tcPr>
            <w:tcW w:w="2800" w:type="dxa"/>
            <w:vAlign w:val="bottom"/>
          </w:tcPr>
          <w:p>
            <w:pPr>
              <w:jc w:val="right"/>
              <w:spacing w:after="0"/>
              <w:rPr>
                <w:sz w:val="20"/>
                <w:szCs w:val="20"/>
                <w:color w:val="auto"/>
              </w:rPr>
            </w:pPr>
            <w:r>
              <w:rPr>
                <w:rFonts w:ascii="Arial" w:cs="Arial" w:eastAsia="Arial" w:hAnsi="Arial"/>
                <w:sz w:val="18"/>
                <w:szCs w:val="18"/>
                <w:color w:val="auto"/>
              </w:rPr>
              <w:t>53,500.00</w:t>
            </w:r>
          </w:p>
        </w:tc>
        <w:tc>
          <w:tcPr>
            <w:tcW w:w="1940" w:type="dxa"/>
            <w:vAlign w:val="bottom"/>
          </w:tcPr>
          <w:p>
            <w:pPr>
              <w:jc w:val="right"/>
              <w:ind w:right="1650"/>
              <w:spacing w:after="0"/>
              <w:rPr>
                <w:sz w:val="20"/>
                <w:szCs w:val="20"/>
                <w:color w:val="auto"/>
              </w:rPr>
            </w:pPr>
            <w:r>
              <w:rPr>
                <w:rFonts w:ascii="Arial" w:cs="Arial" w:eastAsia="Arial" w:hAnsi="Arial"/>
                <w:sz w:val="18"/>
                <w:szCs w:val="18"/>
                <w:color w:val="auto"/>
                <w:w w:val="81"/>
              </w:rPr>
              <w:t>(2)</w:t>
            </w:r>
          </w:p>
        </w:tc>
      </w:tr>
      <w:tr>
        <w:trPr>
          <w:trHeight w:val="216"/>
        </w:trPr>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iv.</w:t>
            </w:r>
          </w:p>
        </w:tc>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Expenses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60,940.00</w:t>
            </w:r>
          </w:p>
        </w:tc>
        <w:tc>
          <w:tcPr>
            <w:tcW w:w="194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w w:val="81"/>
              </w:rPr>
              <w:t>(3)</w:t>
            </w:r>
          </w:p>
        </w:tc>
      </w:tr>
    </w:tbl>
    <w:p>
      <w:pPr>
        <w:ind w:left="1120" w:hanging="653"/>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Semiannual Interest (including any past-due Semiannual Interest for prior periods)</w:t>
      </w:r>
    </w:p>
    <w:tbl>
      <w:tblPr>
        <w:tblLayout w:type="fixed"/>
        <w:tblInd w:w="0" w:type="dxa"/>
        <w:tblCellMar>
          <w:top w:w="0" w:type="dxa"/>
          <w:left w:w="0" w:type="dxa"/>
          <w:bottom w:w="0" w:type="dxa"/>
          <w:right w:w="0" w:type="dxa"/>
        </w:tblCellMar>
      </w:tblPr>
      <w:tr>
        <w:trPr>
          <w:trHeight w:val="139"/>
        </w:trPr>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w w:val="88"/>
              </w:rPr>
              <w:t>Per 1,000</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of Original</w:t>
            </w: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32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 Amount</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1.</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A-1 Interest Payment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1,382,483.69</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8"/>
                <w:szCs w:val="18"/>
                <w:color w:val="auto"/>
                <w:w w:val="92"/>
              </w:rPr>
              <w:t>2.</w:t>
            </w:r>
          </w:p>
        </w:tc>
        <w:tc>
          <w:tcPr>
            <w:tcW w:w="6700" w:type="dxa"/>
            <w:vAlign w:val="bottom"/>
          </w:tcPr>
          <w:p>
            <w:pPr>
              <w:ind w:left="20"/>
              <w:spacing w:after="0"/>
              <w:rPr>
                <w:sz w:val="20"/>
                <w:szCs w:val="20"/>
                <w:color w:val="auto"/>
              </w:rPr>
            </w:pPr>
            <w:r>
              <w:rPr>
                <w:rFonts w:ascii="Arial" w:cs="Arial" w:eastAsia="Arial" w:hAnsi="Arial"/>
                <w:sz w:val="18"/>
                <w:szCs w:val="18"/>
                <w:color w:val="auto"/>
              </w:rPr>
              <w:t>Tranche A-2 Interest Payment</w:t>
            </w:r>
          </w:p>
        </w:tc>
        <w:tc>
          <w:tcPr>
            <w:tcW w:w="1500" w:type="dxa"/>
            <w:vAlign w:val="bottom"/>
          </w:tcPr>
          <w:p>
            <w:pPr>
              <w:jc w:val="right"/>
              <w:spacing w:after="0"/>
              <w:rPr>
                <w:sz w:val="20"/>
                <w:szCs w:val="20"/>
                <w:color w:val="auto"/>
              </w:rPr>
            </w:pPr>
            <w:r>
              <w:rPr>
                <w:rFonts w:ascii="Arial" w:cs="Arial" w:eastAsia="Arial" w:hAnsi="Arial"/>
                <w:sz w:val="18"/>
                <w:szCs w:val="18"/>
                <w:color w:val="auto"/>
              </w:rPr>
              <w:t>4,402,395.35</w:t>
            </w:r>
          </w:p>
        </w:tc>
        <w:tc>
          <w:tcPr>
            <w:tcW w:w="8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3.</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A-3 Interest Payment</w:t>
            </w:r>
          </w:p>
        </w:tc>
        <w:tc>
          <w:tcPr>
            <w:tcW w:w="2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10,314,987.94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00" w:type="dxa"/>
            <w:vAlign w:val="bottom"/>
          </w:tcPr>
          <w:p>
            <w:pPr>
              <w:ind w:left="460"/>
              <w:spacing w:after="0"/>
              <w:rPr>
                <w:sz w:val="20"/>
                <w:szCs w:val="20"/>
                <w:color w:val="auto"/>
              </w:rPr>
            </w:pPr>
            <w:r>
              <w:rPr>
                <w:rFonts w:ascii="Arial" w:cs="Arial" w:eastAsia="Arial" w:hAnsi="Arial"/>
                <w:sz w:val="18"/>
                <w:szCs w:val="18"/>
                <w:color w:val="auto"/>
              </w:rPr>
              <w:t>vi.</w:t>
            </w:r>
          </w:p>
        </w:tc>
        <w:tc>
          <w:tcPr>
            <w:tcW w:w="7080" w:type="dxa"/>
            <w:vAlign w:val="bottom"/>
            <w:gridSpan w:val="2"/>
          </w:tcPr>
          <w:p>
            <w:pPr>
              <w:ind w:left="220"/>
              <w:spacing w:after="0"/>
              <w:rPr>
                <w:sz w:val="20"/>
                <w:szCs w:val="20"/>
                <w:color w:val="auto"/>
              </w:rPr>
            </w:pPr>
            <w:r>
              <w:rPr>
                <w:rFonts w:ascii="Arial" w:cs="Arial" w:eastAsia="Arial" w:hAnsi="Arial"/>
                <w:sz w:val="18"/>
                <w:szCs w:val="18"/>
                <w:color w:val="auto"/>
              </w:rPr>
              <w:t>Principal Due and Payable as a result of (A) Event of Default or (B) on Final Maturity</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Date</w:t>
            </w: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8"/>
              </w:rPr>
              <w:t>Per 1,000</w:t>
            </w:r>
          </w:p>
        </w:tc>
        <w:tc>
          <w:tcPr>
            <w:tcW w:w="0" w:type="dxa"/>
            <w:vAlign w:val="bottom"/>
          </w:tcPr>
          <w:p>
            <w:pPr>
              <w:spacing w:after="0"/>
              <w:rPr>
                <w:sz w:val="1"/>
                <w:szCs w:val="1"/>
                <w:color w:val="auto"/>
              </w:rPr>
            </w:pPr>
          </w:p>
        </w:tc>
      </w:tr>
      <w:tr>
        <w:trPr>
          <w:trHeight w:val="130"/>
        </w:trPr>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of Original</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Principal</w:t>
            </w: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32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1.</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A-1 Principal Payment</w:t>
            </w:r>
          </w:p>
        </w:tc>
        <w:tc>
          <w:tcPr>
            <w:tcW w:w="2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8"/>
                <w:szCs w:val="18"/>
                <w:color w:val="auto"/>
                <w:w w:val="92"/>
              </w:rPr>
              <w:t>2.</w:t>
            </w:r>
          </w:p>
        </w:tc>
        <w:tc>
          <w:tcPr>
            <w:tcW w:w="6700" w:type="dxa"/>
            <w:vAlign w:val="bottom"/>
          </w:tcPr>
          <w:p>
            <w:pPr>
              <w:ind w:left="20"/>
              <w:spacing w:after="0"/>
              <w:rPr>
                <w:sz w:val="20"/>
                <w:szCs w:val="20"/>
                <w:color w:val="auto"/>
              </w:rPr>
            </w:pPr>
            <w:r>
              <w:rPr>
                <w:rFonts w:ascii="Arial" w:cs="Arial" w:eastAsia="Arial" w:hAnsi="Arial"/>
                <w:sz w:val="18"/>
                <w:szCs w:val="18"/>
                <w:color w:val="auto"/>
              </w:rPr>
              <w:t>Tranche A-2 Principal Payment</w:t>
            </w:r>
          </w:p>
        </w:tc>
        <w:tc>
          <w:tcPr>
            <w:tcW w:w="2320" w:type="dxa"/>
            <w:vAlign w:val="bottom"/>
            <w:gridSpan w:val="2"/>
          </w:tcPr>
          <w:p>
            <w:pPr>
              <w:jc w:val="right"/>
              <w:ind w:right="82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3.</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A-3 Principal Payment</w:t>
            </w:r>
          </w:p>
        </w:tc>
        <w:tc>
          <w:tcPr>
            <w:tcW w:w="2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hanging="653"/>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Principal Scheduled to be Paid on Current Payment Date</w:t>
      </w:r>
    </w:p>
    <w:tbl>
      <w:tblPr>
        <w:tblLayout w:type="fixed"/>
        <w:tblInd w:w="0" w:type="dxa"/>
        <w:tblCellMar>
          <w:top w:w="0" w:type="dxa"/>
          <w:left w:w="0" w:type="dxa"/>
          <w:bottom w:w="0" w:type="dxa"/>
          <w:right w:w="0" w:type="dxa"/>
        </w:tblCellMar>
      </w:tblPr>
      <w:tr>
        <w:trPr>
          <w:trHeight w:val="153"/>
        </w:trPr>
        <w:tc>
          <w:tcPr>
            <w:tcW w:w="94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w w:val="88"/>
              </w:rPr>
              <w:t>Per 1,000</w:t>
            </w:r>
          </w:p>
        </w:tc>
      </w:tr>
      <w:tr>
        <w:trPr>
          <w:trHeight w:val="149"/>
        </w:trPr>
        <w:tc>
          <w:tcPr>
            <w:tcW w:w="9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of Original</w:t>
            </w:r>
          </w:p>
        </w:tc>
      </w:tr>
      <w:tr>
        <w:trPr>
          <w:trHeight w:val="149"/>
        </w:trPr>
        <w:tc>
          <w:tcPr>
            <w:tcW w:w="9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Principal</w:t>
            </w:r>
          </w:p>
        </w:tc>
      </w:tr>
      <w:tr>
        <w:trPr>
          <w:trHeight w:val="167"/>
        </w:trPr>
        <w:tc>
          <w:tcPr>
            <w:tcW w:w="9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32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Amount</w:t>
            </w:r>
          </w:p>
        </w:tc>
      </w:tr>
      <w:tr>
        <w:trPr>
          <w:trHeight w:val="88"/>
        </w:trPr>
        <w:tc>
          <w:tcPr>
            <w:tcW w:w="940" w:type="dxa"/>
            <w:vAlign w:val="bottom"/>
          </w:tcPr>
          <w:p>
            <w:pPr>
              <w:spacing w:after="0"/>
              <w:rPr>
                <w:sz w:val="7"/>
                <w:szCs w:val="7"/>
                <w:color w:val="auto"/>
              </w:rPr>
            </w:pPr>
          </w:p>
        </w:tc>
        <w:tc>
          <w:tcPr>
            <w:tcW w:w="704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940" w:type="dxa"/>
            <w:vAlign w:val="bottom"/>
            <w:shd w:val="clear" w:color="auto" w:fill="CCEEFF"/>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 Tranche A-1 Principal Payment</w:t>
            </w:r>
          </w:p>
        </w:tc>
        <w:tc>
          <w:tcPr>
            <w:tcW w:w="2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60,566,668.00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2. Tranche A-2 Principal Payment</w:t>
            </w:r>
          </w:p>
        </w:tc>
        <w:tc>
          <w:tcPr>
            <w:tcW w:w="2320" w:type="dxa"/>
            <w:vAlign w:val="bottom"/>
            <w:gridSpan w:val="2"/>
          </w:tcPr>
          <w:p>
            <w:pPr>
              <w:jc w:val="right"/>
              <w:ind w:right="82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940" w:type="dxa"/>
            <w:vAlign w:val="bottom"/>
            <w:shd w:val="clear" w:color="auto" w:fill="CCEEFF"/>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 Tranche A-3 Principal Payment</w:t>
            </w:r>
          </w:p>
        </w:tc>
        <w:tc>
          <w:tcPr>
            <w:tcW w:w="2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324"/>
        </w:trPr>
        <w:tc>
          <w:tcPr>
            <w:tcW w:w="940" w:type="dxa"/>
            <w:vAlign w:val="bottom"/>
          </w:tcPr>
          <w:p>
            <w:pPr>
              <w:ind w:left="460"/>
              <w:spacing w:after="0"/>
              <w:rPr>
                <w:sz w:val="20"/>
                <w:szCs w:val="20"/>
                <w:color w:val="auto"/>
              </w:rPr>
            </w:pPr>
            <w:r>
              <w:rPr>
                <w:rFonts w:ascii="Arial" w:cs="Arial" w:eastAsia="Arial" w:hAnsi="Arial"/>
                <w:sz w:val="18"/>
                <w:szCs w:val="18"/>
                <w:color w:val="auto"/>
              </w:rPr>
              <w:t>viii.</w:t>
            </w:r>
          </w:p>
        </w:tc>
        <w:tc>
          <w:tcPr>
            <w:tcW w:w="7040" w:type="dxa"/>
            <w:vAlign w:val="bottom"/>
          </w:tcPr>
          <w:p>
            <w:pPr>
              <w:ind w:left="180"/>
              <w:spacing w:after="0"/>
              <w:rPr>
                <w:sz w:val="20"/>
                <w:szCs w:val="20"/>
                <w:color w:val="auto"/>
              </w:rPr>
            </w:pPr>
            <w:r>
              <w:rPr>
                <w:rFonts w:ascii="Arial" w:cs="Arial" w:eastAsia="Arial" w:hAnsi="Arial"/>
                <w:sz w:val="18"/>
                <w:szCs w:val="18"/>
                <w:color w:val="auto"/>
              </w:rPr>
              <w:t>Operating Expenses not Paid under Clause (iv) above</w:t>
            </w:r>
          </w:p>
        </w:tc>
        <w:tc>
          <w:tcPr>
            <w:tcW w:w="2320" w:type="dxa"/>
            <w:vAlign w:val="bottom"/>
            <w:gridSpan w:val="2"/>
          </w:tcPr>
          <w:p>
            <w:pPr>
              <w:jc w:val="right"/>
              <w:ind w:right="820"/>
              <w:spacing w:after="0"/>
              <w:rPr>
                <w:sz w:val="20"/>
                <w:szCs w:val="20"/>
                <w:color w:val="auto"/>
              </w:rPr>
            </w:pPr>
            <w:r>
              <w:rPr>
                <w:rFonts w:ascii="Arial" w:cs="Arial" w:eastAsia="Arial" w:hAnsi="Arial"/>
                <w:sz w:val="18"/>
                <w:szCs w:val="18"/>
                <w:color w:val="auto"/>
              </w:rPr>
              <w:t>0.00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ix.</w:t>
            </w: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Replenishment of Any Amounts Drawn from Capital Subaccount</w:t>
            </w:r>
          </w:p>
        </w:tc>
        <w:tc>
          <w:tcPr>
            <w:tcW w:w="2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jc w:val="right"/>
        <w:ind w:left="1300" w:right="4140" w:hanging="833"/>
        <w:spacing w:after="0" w:line="323"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Calculated at Servicer’sAuthorized Rate of Return on Equity on the Amount Contributed to the Capital Subaccount in Excess of 0.5% of the Initial Outstanding</w:t>
      </w:r>
    </w:p>
    <w:p>
      <w:pPr>
        <w:spacing w:after="0" w:line="139" w:lineRule="exact"/>
        <w:rPr>
          <w:sz w:val="20"/>
          <w:szCs w:val="20"/>
          <w:color w:val="auto"/>
        </w:rPr>
      </w:pPr>
    </w:p>
    <w:p>
      <w:pPr>
        <w:ind w:left="1120" w:hanging="65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Earnings in Capital Subaccount Relating to the Initial Contribution of 0.5%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7040" w:type="dxa"/>
            <w:vAlign w:val="bottom"/>
          </w:tcPr>
          <w:p>
            <w:pPr>
              <w:ind w:left="360"/>
              <w:spacing w:after="0"/>
              <w:rPr>
                <w:sz w:val="20"/>
                <w:szCs w:val="20"/>
                <w:color w:val="auto"/>
              </w:rPr>
            </w:pPr>
            <w:r>
              <w:rPr>
                <w:rFonts w:ascii="Arial" w:cs="Arial" w:eastAsia="Arial" w:hAnsi="Arial"/>
                <w:sz w:val="18"/>
                <w:szCs w:val="18"/>
                <w:color w:val="auto"/>
              </w:rPr>
              <w:t>Initial Outstanding Principal Balance of the Bonds Released to Issuer</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1,193.25</w:t>
            </w:r>
          </w:p>
        </w:tc>
        <w:tc>
          <w:tcPr>
            <w:tcW w:w="1920" w:type="dxa"/>
            <w:vAlign w:val="bottom"/>
          </w:tcPr>
          <w:p>
            <w:pPr>
              <w:spacing w:after="0"/>
              <w:rPr>
                <w:sz w:val="18"/>
                <w:szCs w:val="18"/>
                <w:color w:val="auto"/>
              </w:rPr>
            </w:pPr>
          </w:p>
        </w:tc>
      </w:tr>
      <w:tr>
        <w:trPr>
          <w:trHeight w:val="230"/>
        </w:trPr>
        <w:tc>
          <w:tcPr>
            <w:tcW w:w="940" w:type="dxa"/>
            <w:vAlign w:val="bottom"/>
          </w:tcPr>
          <w:p>
            <w:pPr>
              <w:ind w:left="460"/>
              <w:spacing w:after="0"/>
              <w:rPr>
                <w:sz w:val="20"/>
                <w:szCs w:val="20"/>
                <w:color w:val="auto"/>
              </w:rPr>
            </w:pPr>
            <w:r>
              <w:rPr>
                <w:rFonts w:ascii="Arial" w:cs="Arial" w:eastAsia="Arial" w:hAnsi="Arial"/>
                <w:sz w:val="18"/>
                <w:szCs w:val="18"/>
                <w:color w:val="auto"/>
              </w:rPr>
              <w:t>xii.</w:t>
            </w:r>
          </w:p>
        </w:tc>
        <w:tc>
          <w:tcPr>
            <w:tcW w:w="7040" w:type="dxa"/>
            <w:vAlign w:val="bottom"/>
          </w:tcPr>
          <w:p>
            <w:pPr>
              <w:ind w:left="180"/>
              <w:spacing w:after="0"/>
              <w:rPr>
                <w:sz w:val="20"/>
                <w:szCs w:val="20"/>
                <w:color w:val="auto"/>
              </w:rPr>
            </w:pPr>
            <w:r>
              <w:rPr>
                <w:rFonts w:ascii="Arial" w:cs="Arial" w:eastAsia="Arial" w:hAnsi="Arial"/>
                <w:sz w:val="18"/>
                <w:szCs w:val="18"/>
                <w:color w:val="auto"/>
              </w:rPr>
              <w:t>Deposit to Excess Funds Subaccount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10,206,444.46</w:t>
            </w:r>
          </w:p>
        </w:tc>
        <w:tc>
          <w:tcPr>
            <w:tcW w:w="1920" w:type="dxa"/>
            <w:vAlign w:val="bottom"/>
          </w:tcPr>
          <w:p>
            <w:pPr>
              <w:spacing w:after="0"/>
              <w:rPr>
                <w:sz w:val="20"/>
                <w:szCs w:val="20"/>
                <w:color w:val="auto"/>
              </w:rPr>
            </w:pPr>
          </w:p>
        </w:tc>
      </w:tr>
      <w:tr>
        <w:trPr>
          <w:trHeight w:val="216"/>
        </w:trPr>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xiii.</w:t>
            </w: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Released to Issuer upon Series Retirement: Collection Account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920" w:type="dxa"/>
            <w:vAlign w:val="bottom"/>
            <w:shd w:val="clear" w:color="auto" w:fill="CCEEFF"/>
          </w:tcPr>
          <w:p>
            <w:pPr>
              <w:spacing w:after="0"/>
              <w:rPr>
                <w:sz w:val="18"/>
                <w:szCs w:val="18"/>
                <w:color w:val="auto"/>
              </w:rPr>
            </w:pPr>
          </w:p>
        </w:tc>
      </w:tr>
      <w:tr>
        <w:trPr>
          <w:trHeight w:val="223"/>
        </w:trPr>
        <w:tc>
          <w:tcPr>
            <w:tcW w:w="940" w:type="dxa"/>
            <w:vAlign w:val="bottom"/>
          </w:tcPr>
          <w:p>
            <w:pPr>
              <w:ind w:left="460"/>
              <w:spacing w:after="0"/>
              <w:rPr>
                <w:sz w:val="20"/>
                <w:szCs w:val="20"/>
                <w:color w:val="auto"/>
              </w:rPr>
            </w:pPr>
            <w:r>
              <w:rPr>
                <w:rFonts w:ascii="Arial" w:cs="Arial" w:eastAsia="Arial" w:hAnsi="Arial"/>
                <w:sz w:val="18"/>
                <w:szCs w:val="18"/>
                <w:color w:val="auto"/>
              </w:rPr>
              <w:t>xiv.</w:t>
            </w:r>
          </w:p>
        </w:tc>
        <w:tc>
          <w:tcPr>
            <w:tcW w:w="7040" w:type="dxa"/>
            <w:vAlign w:val="bottom"/>
          </w:tcPr>
          <w:p>
            <w:pPr>
              <w:ind w:left="180"/>
              <w:spacing w:after="0"/>
              <w:rPr>
                <w:sz w:val="20"/>
                <w:szCs w:val="20"/>
                <w:color w:val="auto"/>
              </w:rPr>
            </w:pPr>
            <w:r>
              <w:rPr>
                <w:rFonts w:ascii="Arial" w:cs="Arial" w:eastAsia="Arial" w:hAnsi="Arial"/>
                <w:sz w:val="18"/>
                <w:szCs w:val="18"/>
                <w:color w:val="auto"/>
              </w:rPr>
              <w:t>Aggregate Remittances as of Current Payment Date</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87,443,862.69</w:t>
            </w:r>
          </w:p>
        </w:tc>
        <w:tc>
          <w:tcPr>
            <w:tcW w:w="20" w:type="dxa"/>
            <w:vAlign w:val="bottom"/>
            <w:tcBorders>
              <w:bottom w:val="single" w:sz="8" w:color="auto"/>
            </w:tcBorders>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20" w:hanging="448"/>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Servicing fee: $1,695,000,000 x .05% x 180/360 = $423,750.00</w:t>
      </w:r>
    </w:p>
    <w:p>
      <w:pPr>
        <w:spacing w:after="0" w:line="23" w:lineRule="exact"/>
        <w:rPr>
          <w:rFonts w:ascii="Arial" w:cs="Arial" w:eastAsia="Arial" w:hAnsi="Arial"/>
          <w:sz w:val="18"/>
          <w:szCs w:val="18"/>
          <w:color w:val="auto"/>
        </w:rPr>
      </w:pPr>
    </w:p>
    <w:p>
      <w:pPr>
        <w:ind w:left="1820" w:hanging="448"/>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Administration fee: $100,000 x 180/360 = $50,000.00 plus Independent Manager fee ($3,500.00)</w:t>
      </w:r>
    </w:p>
    <w:p>
      <w:pPr>
        <w:spacing w:after="0" w:line="9" w:lineRule="exact"/>
        <w:rPr>
          <w:rFonts w:ascii="Arial" w:cs="Arial" w:eastAsia="Arial" w:hAnsi="Arial"/>
          <w:sz w:val="18"/>
          <w:szCs w:val="18"/>
          <w:color w:val="auto"/>
        </w:rPr>
      </w:pPr>
    </w:p>
    <w:p>
      <w:pPr>
        <w:ind w:left="1820" w:hanging="448"/>
        <w:spacing w:after="0" w:line="261"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Reimbursement to Administrator for fees/expenses paid to independent auditors ($20,000.00), outside counsel ($3,440.00) and rating agencies ($37,500.00).</w:t>
      </w:r>
    </w:p>
    <w:p>
      <w:pPr>
        <w:sectPr>
          <w:pgSz w:w="11900" w:h="16838" w:orient="portrait"/>
          <w:cols w:equalWidth="0" w:num="1">
            <w:col w:w="11420"/>
          </w:cols>
          <w:pgMar w:left="240" w:top="257" w:right="239" w:bottom="1440" w:gutter="0" w:footer="0" w:header="0"/>
        </w:sectPr>
      </w:pPr>
    </w:p>
    <w:bookmarkStart w:id="7" w:name="page8"/>
    <w:bookmarkEnd w:id="7"/>
    <w:p>
      <w:pPr>
        <w:ind w:left="180" w:hanging="172"/>
        <w:spacing w:after="0"/>
        <w:tabs>
          <w:tab w:leader="none" w:pos="1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Subaccount Release or Withdrawals as of Current Payment Date Pursuant to Section 8.02(d) of Indenture:</w:t>
      </w:r>
    </w:p>
    <w:p>
      <w:pPr>
        <w:spacing w:after="0" w:line="50" w:lineRule="exact"/>
        <w:rPr>
          <w:rFonts w:ascii="Arial" w:cs="Arial" w:eastAsia="Arial" w:hAnsi="Arial"/>
          <w:sz w:val="16"/>
          <w:szCs w:val="16"/>
          <w:b w:val="1"/>
          <w:bCs w:val="1"/>
          <w:color w:val="auto"/>
        </w:rPr>
      </w:pPr>
    </w:p>
    <w:p>
      <w:pPr>
        <w:ind w:left="660" w:hanging="449"/>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Capital Subaccount Release (available for 4.xi.)</w:t>
      </w:r>
    </w:p>
    <w:p>
      <w:pPr>
        <w:spacing w:after="0" w:line="9" w:lineRule="exact"/>
        <w:rPr>
          <w:rFonts w:ascii="Arial" w:cs="Arial" w:eastAsia="Arial" w:hAnsi="Arial"/>
          <w:sz w:val="18"/>
          <w:szCs w:val="18"/>
          <w:color w:val="auto"/>
        </w:rPr>
      </w:pPr>
    </w:p>
    <w:p>
      <w:pPr>
        <w:ind w:left="660" w:hanging="449"/>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Excess Funds Subaccount Withdrawal (available for 4.i. through 4.x.)</w:t>
      </w:r>
    </w:p>
    <w:p>
      <w:pPr>
        <w:spacing w:after="0" w:line="9" w:lineRule="exact"/>
        <w:rPr>
          <w:rFonts w:ascii="Arial" w:cs="Arial" w:eastAsia="Arial" w:hAnsi="Arial"/>
          <w:sz w:val="18"/>
          <w:szCs w:val="18"/>
          <w:color w:val="auto"/>
        </w:rPr>
      </w:pPr>
    </w:p>
    <w:p>
      <w:pPr>
        <w:ind w:left="660" w:hanging="449"/>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Capital Subaccount Withdrawal (available for 4.i. through 4.viii.)</w:t>
      </w:r>
    </w:p>
    <w:p>
      <w:pPr>
        <w:spacing w:after="0" w:line="21" w:lineRule="exact"/>
        <w:rPr>
          <w:rFonts w:ascii="Arial" w:cs="Arial" w:eastAsia="Arial" w:hAnsi="Arial"/>
          <w:sz w:val="18"/>
          <w:szCs w:val="18"/>
          <w:color w:val="auto"/>
        </w:rPr>
      </w:pPr>
    </w:p>
    <w:p>
      <w:pPr>
        <w:ind w:left="660" w:hanging="449"/>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Total Release or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1,193.25</w:t>
      </w:r>
    </w:p>
    <w:p>
      <w:pPr>
        <w:spacing w:after="0" w:line="5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840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1,193.25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8407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53975</wp:posOffset>
            </wp:positionV>
            <wp:extent cx="840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9980" w:space="720"/>
            <w:col w:w="720"/>
          </w:cols>
          <w:pgMar w:left="240" w:top="270" w:right="239" w:bottom="1440" w:gutter="0" w:footer="0" w:header="0"/>
        </w:sectPr>
      </w:pPr>
    </w:p>
    <w:p>
      <w:pPr>
        <w:ind w:left="180" w:right="2740" w:hanging="172"/>
        <w:spacing w:after="0" w:line="313" w:lineRule="auto"/>
        <w:tabs>
          <w:tab w:leader="none" w:pos="1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Outstanding Amounts and Collection Account Balance as of Current Payment Date (after giving effect to payments to be made on such Payment Date):</w:t>
      </w:r>
    </w:p>
    <w:p>
      <w:pPr>
        <w:spacing w:after="0" w:line="34" w:lineRule="exact"/>
        <w:rPr>
          <w:rFonts w:ascii="Arial" w:cs="Arial" w:eastAsia="Arial" w:hAnsi="Arial"/>
          <w:sz w:val="17"/>
          <w:szCs w:val="17"/>
          <w:b w:val="1"/>
          <w:bCs w:val="1"/>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Tranche A-1 Principal Balance</w:t>
      </w:r>
    </w:p>
    <w:p>
      <w:pPr>
        <w:spacing w:after="0" w:line="23" w:lineRule="exact"/>
        <w:rPr>
          <w:rFonts w:ascii="Arial" w:cs="Arial" w:eastAsia="Arial" w:hAnsi="Arial"/>
          <w:sz w:val="18"/>
          <w:szCs w:val="18"/>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Tranche A-2 Principal Balance</w:t>
      </w:r>
    </w:p>
    <w:p>
      <w:pPr>
        <w:spacing w:after="0" w:line="9" w:lineRule="exact"/>
        <w:rPr>
          <w:rFonts w:ascii="Arial" w:cs="Arial" w:eastAsia="Arial" w:hAnsi="Arial"/>
          <w:sz w:val="18"/>
          <w:szCs w:val="18"/>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Tranche A-3 Principal Balance</w:t>
      </w:r>
    </w:p>
    <w:p>
      <w:pPr>
        <w:spacing w:after="0" w:line="21" w:lineRule="exact"/>
        <w:rPr>
          <w:rFonts w:ascii="Arial" w:cs="Arial" w:eastAsia="Arial" w:hAnsi="Arial"/>
          <w:sz w:val="18"/>
          <w:szCs w:val="18"/>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Principal Balance for all Series 2012 Transition Bonds</w:t>
      </w:r>
    </w:p>
    <w:p>
      <w:pPr>
        <w:spacing w:after="0" w:line="171" w:lineRule="exact"/>
        <w:rPr>
          <w:rFonts w:ascii="Arial" w:cs="Arial" w:eastAsia="Arial" w:hAnsi="Arial"/>
          <w:sz w:val="18"/>
          <w:szCs w:val="18"/>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Excess Funds Subaccount Balance</w:t>
      </w:r>
    </w:p>
    <w:p>
      <w:pPr>
        <w:spacing w:after="0" w:line="23" w:lineRule="exact"/>
        <w:rPr>
          <w:rFonts w:ascii="Arial" w:cs="Arial" w:eastAsia="Arial" w:hAnsi="Arial"/>
          <w:sz w:val="18"/>
          <w:szCs w:val="18"/>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Capital Subaccount Balance</w:t>
      </w:r>
    </w:p>
    <w:p>
      <w:pPr>
        <w:spacing w:after="0" w:line="21" w:lineRule="exact"/>
        <w:rPr>
          <w:rFonts w:ascii="Arial" w:cs="Arial" w:eastAsia="Arial" w:hAnsi="Arial"/>
          <w:sz w:val="18"/>
          <w:szCs w:val="18"/>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Collection Account Balance</w:t>
      </w:r>
    </w:p>
    <w:p>
      <w:pPr>
        <w:spacing w:after="0" w:line="167" w:lineRule="exact"/>
        <w:rPr>
          <w:rFonts w:ascii="Arial" w:cs="Arial" w:eastAsia="Arial" w:hAnsi="Arial"/>
          <w:sz w:val="18"/>
          <w:szCs w:val="18"/>
          <w:color w:val="auto"/>
        </w:rPr>
      </w:pPr>
    </w:p>
    <w:p>
      <w:pPr>
        <w:ind w:left="180" w:right="3460" w:hanging="172"/>
        <w:spacing w:after="0" w:line="293" w:lineRule="auto"/>
        <w:tabs>
          <w:tab w:leader="none" w:pos="1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Shortfalls In Interest and Principal Payments as of Current Payment Date (after giving effect to payments to be made on such Payment Date):</w:t>
      </w:r>
    </w:p>
    <w:p>
      <w:pPr>
        <w:spacing w:after="0" w:line="1" w:lineRule="exact"/>
        <w:rPr>
          <w:rFonts w:ascii="Arial" w:cs="Arial" w:eastAsia="Arial" w:hAnsi="Arial"/>
          <w:sz w:val="16"/>
          <w:szCs w:val="16"/>
          <w:b w:val="1"/>
          <w:bCs w:val="1"/>
          <w:color w:val="auto"/>
        </w:rPr>
      </w:pPr>
    </w:p>
    <w:p>
      <w:pPr>
        <w:ind w:left="660" w:hanging="449"/>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Semiannual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-1605915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-1331595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-645160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246,242,850.00</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407,516,000.00</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681,262,000.00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20320</wp:posOffset>
            </wp:positionV>
            <wp:extent cx="840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1,335,020,850.00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46355</wp:posOffset>
            </wp:positionV>
            <wp:extent cx="840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7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42,783,026.12</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8,475,000.00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20320</wp:posOffset>
            </wp:positionV>
            <wp:extent cx="840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51,258,026.12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14605</wp:posOffset>
            </wp:positionV>
            <wp:extent cx="840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31750</wp:posOffset>
            </wp:positionV>
            <wp:extent cx="840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927" w:lineRule="exact"/>
        <w:rPr>
          <w:sz w:val="20"/>
          <w:szCs w:val="20"/>
          <w:color w:val="auto"/>
        </w:rPr>
      </w:pPr>
    </w:p>
    <w:p>
      <w:pPr>
        <w:sectPr>
          <w:pgSz w:w="11900" w:h="16838" w:orient="portrait"/>
          <w:cols w:equalWidth="0" w:num="2">
            <w:col w:w="9340" w:space="720"/>
            <w:col w:w="136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w w:val="92"/>
              </w:rPr>
              <w:t>1.</w:t>
            </w: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Tranche A-1 Bond Interest Payment</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2.</w:t>
            </w:r>
          </w:p>
        </w:tc>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Tranche A-2 Bond Interest Payment</w:t>
            </w:r>
          </w:p>
        </w:tc>
        <w:tc>
          <w:tcPr>
            <w:tcW w:w="3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w w:val="92"/>
              </w:rPr>
              <w:t>3.</w:t>
            </w:r>
          </w:p>
        </w:tc>
        <w:tc>
          <w:tcPr>
            <w:tcW w:w="940" w:type="dxa"/>
            <w:vAlign w:val="bottom"/>
          </w:tcPr>
          <w:p>
            <w:pPr>
              <w:ind w:left="20"/>
              <w:spacing w:after="0"/>
              <w:rPr>
                <w:sz w:val="20"/>
                <w:szCs w:val="20"/>
                <w:color w:val="auto"/>
              </w:rPr>
            </w:pPr>
            <w:r>
              <w:rPr>
                <w:rFonts w:ascii="Arial" w:cs="Arial" w:eastAsia="Arial" w:hAnsi="Arial"/>
                <w:sz w:val="18"/>
                <w:szCs w:val="18"/>
                <w:color w:val="auto"/>
                <w:w w:val="90"/>
              </w:rPr>
              <w:t>Tranche A-3</w:t>
            </w:r>
          </w:p>
        </w:tc>
        <w:tc>
          <w:tcPr>
            <w:tcW w:w="6460" w:type="dxa"/>
            <w:vAlign w:val="bottom"/>
          </w:tcPr>
          <w:p>
            <w:pPr>
              <w:ind w:left="20"/>
              <w:spacing w:after="0"/>
              <w:rPr>
                <w:sz w:val="20"/>
                <w:szCs w:val="20"/>
                <w:color w:val="auto"/>
              </w:rPr>
            </w:pPr>
            <w:r>
              <w:rPr>
                <w:rFonts w:ascii="Arial" w:cs="Arial" w:eastAsia="Arial" w:hAnsi="Arial"/>
                <w:sz w:val="18"/>
                <w:szCs w:val="18"/>
                <w:color w:val="auto"/>
              </w:rPr>
              <w:t>Bond Interest Payment</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720" w:type="dxa"/>
            <w:vAlign w:val="bottom"/>
            <w:gridSpan w:val="3"/>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w:t>
            </w:r>
          </w:p>
        </w:tc>
        <w:tc>
          <w:tcPr>
            <w:tcW w:w="7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Semiannual Principal</w:t>
            </w: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w w:val="92"/>
              </w:rPr>
              <w:t>1.</w:t>
            </w:r>
          </w:p>
        </w:tc>
        <w:tc>
          <w:tcPr>
            <w:tcW w:w="940" w:type="dxa"/>
            <w:vAlign w:val="bottom"/>
          </w:tcPr>
          <w:p>
            <w:pPr>
              <w:ind w:left="20"/>
              <w:spacing w:after="0"/>
              <w:rPr>
                <w:sz w:val="20"/>
                <w:szCs w:val="20"/>
                <w:color w:val="auto"/>
              </w:rPr>
            </w:pPr>
            <w:r>
              <w:rPr>
                <w:rFonts w:ascii="Arial" w:cs="Arial" w:eastAsia="Arial" w:hAnsi="Arial"/>
                <w:sz w:val="18"/>
                <w:szCs w:val="18"/>
                <w:color w:val="auto"/>
                <w:w w:val="90"/>
              </w:rPr>
              <w:t>Tranche A-1</w:t>
            </w:r>
          </w:p>
        </w:tc>
        <w:tc>
          <w:tcPr>
            <w:tcW w:w="6460" w:type="dxa"/>
            <w:vAlign w:val="bottom"/>
          </w:tcPr>
          <w:p>
            <w:pPr>
              <w:ind w:left="20"/>
              <w:spacing w:after="0"/>
              <w:rPr>
                <w:sz w:val="20"/>
                <w:szCs w:val="20"/>
                <w:color w:val="auto"/>
              </w:rPr>
            </w:pPr>
            <w:r>
              <w:rPr>
                <w:rFonts w:ascii="Arial" w:cs="Arial" w:eastAsia="Arial" w:hAnsi="Arial"/>
                <w:sz w:val="18"/>
                <w:szCs w:val="18"/>
                <w:color w:val="auto"/>
              </w:rPr>
              <w:t>Principal Payment</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2.</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Tranche A-2</w:t>
            </w: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w:t>
            </w:r>
          </w:p>
        </w:tc>
        <w:tc>
          <w:tcPr>
            <w:tcW w:w="3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w w:val="92"/>
              </w:rPr>
              <w:t>3.</w:t>
            </w:r>
          </w:p>
        </w:tc>
        <w:tc>
          <w:tcPr>
            <w:tcW w:w="940" w:type="dxa"/>
            <w:vAlign w:val="bottom"/>
          </w:tcPr>
          <w:p>
            <w:pPr>
              <w:ind w:left="20"/>
              <w:spacing w:after="0"/>
              <w:rPr>
                <w:sz w:val="20"/>
                <w:szCs w:val="20"/>
                <w:color w:val="auto"/>
              </w:rPr>
            </w:pPr>
            <w:r>
              <w:rPr>
                <w:rFonts w:ascii="Arial" w:cs="Arial" w:eastAsia="Arial" w:hAnsi="Arial"/>
                <w:sz w:val="18"/>
                <w:szCs w:val="18"/>
                <w:color w:val="auto"/>
                <w:w w:val="90"/>
              </w:rPr>
              <w:t>Tranche A-3</w:t>
            </w:r>
          </w:p>
        </w:tc>
        <w:tc>
          <w:tcPr>
            <w:tcW w:w="6460" w:type="dxa"/>
            <w:vAlign w:val="bottom"/>
          </w:tcPr>
          <w:p>
            <w:pPr>
              <w:ind w:left="20"/>
              <w:spacing w:after="0"/>
              <w:rPr>
                <w:sz w:val="20"/>
                <w:szCs w:val="20"/>
                <w:color w:val="auto"/>
              </w:rPr>
            </w:pPr>
            <w:r>
              <w:rPr>
                <w:rFonts w:ascii="Arial" w:cs="Arial" w:eastAsia="Arial" w:hAnsi="Arial"/>
                <w:sz w:val="18"/>
                <w:szCs w:val="18"/>
                <w:color w:val="auto"/>
              </w:rPr>
              <w:t>Principal Payment</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200" w:type="dxa"/>
            <w:vAlign w:val="bottom"/>
            <w:gridSpan w:val="4"/>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20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8. Shortfall in Required Subaccount Level as of Current Payment Date</w:t>
            </w:r>
          </w:p>
        </w:tc>
        <w:tc>
          <w:tcPr>
            <w:tcW w:w="3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(after giving effect to payments to be made on such Payment Date):</w:t>
            </w: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i.</w:t>
            </w:r>
          </w:p>
        </w:tc>
        <w:tc>
          <w:tcPr>
            <w:tcW w:w="7720" w:type="dxa"/>
            <w:vAlign w:val="bottom"/>
            <w:gridSpan w:val="3"/>
          </w:tcPr>
          <w:p>
            <w:pPr>
              <w:ind w:left="160"/>
              <w:spacing w:after="0"/>
              <w:rPr>
                <w:sz w:val="20"/>
                <w:szCs w:val="20"/>
                <w:color w:val="auto"/>
              </w:rPr>
            </w:pPr>
            <w:r>
              <w:rPr>
                <w:rFonts w:ascii="Arial" w:cs="Arial" w:eastAsia="Arial" w:hAnsi="Arial"/>
                <w:sz w:val="18"/>
                <w:szCs w:val="18"/>
                <w:color w:val="auto"/>
              </w:rPr>
              <w:t>Capital Subaccount</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the undersigned has duly executed and delivered this Semiannual Servicer’s Certificate this 13th day of April,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 HOUSTON ELECTRIC, LLC, as Servicer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Linda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3087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Linda Geiger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Assistant Treasurer</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lowerLetter"/>
      <w:start w:val="2"/>
    </w:lvl>
  </w:abstractNum>
  <w:abstractNum w:abstractNumId="2">
    <w:nsid w:val="79E2A9E3"/>
    <w:multiLevelType w:val="hybridMultilevel"/>
    <w:lvl w:ilvl="0">
      <w:lvlJc w:val="left"/>
      <w:lvlText w:val="%1"/>
      <w:numFmt w:val="decimal"/>
      <w:start w:val="1"/>
    </w:lvl>
    <w:lvl w:ilvl="1">
      <w:lvlJc w:val="left"/>
      <w:lvlText w:val="(%2)"/>
      <w:numFmt w:val="decimal"/>
      <w:start w:val="1"/>
    </w:lvl>
  </w:abstractNum>
  <w:abstractNum w:abstractNumId="3">
    <w:nsid w:val="7545E146"/>
    <w:multiLevelType w:val="hybridMultilevel"/>
    <w:lvl w:ilvl="0">
      <w:lvlJc w:val="left"/>
      <w:lvlText w:val="%1."/>
      <w:numFmt w:val="decimal"/>
      <w:start w:val="2"/>
    </w:lvl>
    <w:lvl w:ilvl="1">
      <w:lvlJc w:val="left"/>
      <w:lvlText w:val="%2"/>
      <w:numFmt w:val="decimal"/>
      <w:start w:val="1"/>
    </w:lvl>
  </w:abstractNum>
  <w:abstractNum w:abstractNumId="4">
    <w:nsid w:val="515F007C"/>
    <w:multiLevelType w:val="hybridMultilevel"/>
    <w:lvl w:ilvl="0">
      <w:lvlJc w:val="left"/>
      <w:lvlText w:val="%1."/>
      <w:numFmt w:val="decimal"/>
      <w:start w:val="3"/>
    </w:lvl>
    <w:lvl w:ilvl="1">
      <w:lvlJc w:val="left"/>
      <w:lvlText w:val="*"/>
      <w:numFmt w:val="bullet"/>
      <w:start w:val="1"/>
    </w:lvl>
  </w:abstractNum>
  <w:abstractNum w:abstractNumId="5">
    <w:nsid w:val="5BD062C2"/>
    <w:multiLevelType w:val="hybridMultilevel"/>
    <w:lvl w:ilvl="0">
      <w:lvlJc w:val="left"/>
      <w:lvlText w:val="%1."/>
      <w:numFmt w:val="lowerRoman"/>
      <w:start w:val="5"/>
    </w:lvl>
  </w:abstractNum>
  <w:abstractNum w:abstractNumId="6">
    <w:nsid w:val="12200854"/>
    <w:multiLevelType w:val="hybridMultilevel"/>
    <w:lvl w:ilvl="0">
      <w:lvlJc w:val="left"/>
      <w:lvlText w:val="%1."/>
      <w:numFmt w:val="lowerRoman"/>
      <w:start w:val="7"/>
    </w:lvl>
  </w:abstractNum>
  <w:abstractNum w:abstractNumId="7">
    <w:nsid w:val="4DB127F8"/>
    <w:multiLevelType w:val="hybridMultilevel"/>
    <w:lvl w:ilvl="0">
      <w:lvlJc w:val="left"/>
      <w:lvlText w:val="%1."/>
      <w:numFmt w:val="lowerRoman"/>
      <w:start w:val="10"/>
    </w:lvl>
  </w:abstractNum>
  <w:abstractNum w:abstractNumId="8">
    <w:nsid w:val="216231B"/>
    <w:multiLevelType w:val="hybridMultilevel"/>
    <w:lvl w:ilvl="0">
      <w:lvlJc w:val="left"/>
      <w:lvlText w:val="%1."/>
      <w:numFmt w:val="lowerRoman"/>
      <w:start w:val="1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5"/>
    </w:lvl>
    <w:lvl w:ilvl="1">
      <w:lvlJc w:val="left"/>
      <w:lvlText w:val="%2."/>
      <w:numFmt w:val="lowerRoman"/>
      <w:start w:val="1"/>
    </w:lvl>
  </w:abstractNum>
  <w:abstractNum w:abstractNumId="11">
    <w:nsid w:val="66EF438D"/>
    <w:multiLevelType w:val="hybridMultilevel"/>
    <w:lvl w:ilvl="0">
      <w:lvlJc w:val="left"/>
      <w:lvlText w:val="%1."/>
      <w:numFmt w:val="decimal"/>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2019-12-09T01:43:44Z</dcterms:created>
  <dcterms:modified xsi:type="dcterms:W3CDTF">2019-12-09T01:43:44Z</dcterms:modified>
</cp:coreProperties>
</file>