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379730</wp:posOffset>
            </wp:positionH>
            <wp:positionV relativeFrom="page">
              <wp:posOffset>808990</wp:posOffset>
            </wp:positionV>
            <wp:extent cx="6789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834390</wp:posOffset>
            </wp:positionV>
            <wp:extent cx="6789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April 22, 2022</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CENTERPOINT ENERGY ,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_______________________________</w:t>
      </w:r>
    </w:p>
    <w:p>
      <w:pPr>
        <w:sectPr>
          <w:pgSz w:w="11900" w:h="16838" w:orient="portrait"/>
          <w:cols w:equalWidth="0" w:num="1">
            <w:col w:w="11240"/>
          </w:cols>
          <w:pgMar w:left="320" w:top="1440" w:right="339" w:bottom="1440" w:gutter="0" w:footer="0" w:header="0"/>
        </w:sectPr>
      </w:pPr>
    </w:p>
    <w:p>
      <w:pPr>
        <w:spacing w:after="0" w:line="122" w:lineRule="exact"/>
        <w:rPr>
          <w:sz w:val="24"/>
          <w:szCs w:val="24"/>
          <w:color w:val="auto"/>
        </w:rPr>
      </w:pPr>
    </w:p>
    <w:p>
      <w:pPr>
        <w:jc w:val="center"/>
        <w:ind w:left="720"/>
        <w:spacing w:after="0"/>
        <w:rPr>
          <w:sz w:val="20"/>
          <w:szCs w:val="20"/>
          <w:color w:val="auto"/>
        </w:rPr>
      </w:pPr>
      <w:r>
        <w:rPr>
          <w:rFonts w:ascii="Arial" w:cs="Arial" w:eastAsia="Arial" w:hAnsi="Arial"/>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680"/>
        <w:spacing w:after="0"/>
        <w:rPr>
          <w:sz w:val="20"/>
          <w:szCs w:val="20"/>
          <w:color w:val="auto"/>
        </w:rPr>
      </w:pPr>
      <w:r>
        <w:rPr>
          <w:rFonts w:ascii="Arial" w:cs="Arial" w:eastAsia="Arial" w:hAnsi="Arial"/>
          <w:sz w:val="14"/>
          <w:szCs w:val="14"/>
          <w:b w:val="1"/>
          <w:bCs w:val="1"/>
          <w:color w:val="auto"/>
        </w:rPr>
        <w:t>1-31447</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76-0694415</w:t>
      </w:r>
    </w:p>
    <w:p>
      <w:pPr>
        <w:spacing w:after="0" w:line="82" w:lineRule="exact"/>
        <w:rPr>
          <w:sz w:val="24"/>
          <w:szCs w:val="24"/>
          <w:color w:val="auto"/>
        </w:rPr>
      </w:pPr>
    </w:p>
    <w:p>
      <w:pPr>
        <w:sectPr>
          <w:pgSz w:w="11900" w:h="16838" w:orient="portrait"/>
          <w:cols w:equalWidth="0" w:num="3">
            <w:col w:w="4620" w:space="720"/>
            <w:col w:w="2220" w:space="720"/>
            <w:col w:w="2960"/>
          </w:cols>
          <w:pgMar w:left="320" w:top="1440" w:right="339" w:bottom="1440" w:gutter="0" w:footer="0" w:header="0"/>
          <w:type w:val="continuous"/>
        </w:sectPr>
      </w:pPr>
    </w:p>
    <w:p>
      <w:pPr>
        <w:ind w:left="2020"/>
        <w:spacing w:after="0"/>
        <w:rPr>
          <w:sz w:val="20"/>
          <w:szCs w:val="20"/>
          <w:color w:val="auto"/>
        </w:rPr>
      </w:pPr>
      <w:r>
        <w:rPr>
          <w:rFonts w:ascii="Arial" w:cs="Arial" w:eastAsia="Arial" w:hAnsi="Arial"/>
          <w:sz w:val="10"/>
          <w:szCs w:val="10"/>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0"/>
          <w:szCs w:val="10"/>
          <w:color w:val="auto"/>
        </w:rPr>
        <w:t>(IRS Employer</w:t>
      </w:r>
    </w:p>
    <w:p>
      <w:pPr>
        <w:spacing w:after="0" w:line="101" w:lineRule="exact"/>
        <w:rPr>
          <w:sz w:val="24"/>
          <w:szCs w:val="24"/>
          <w:color w:val="auto"/>
        </w:rPr>
      </w:pPr>
    </w:p>
    <w:p>
      <w:pPr>
        <w:sectPr>
          <w:pgSz w:w="11900" w:h="16838" w:orient="portrait"/>
          <w:cols w:equalWidth="0" w:num="3">
            <w:col w:w="4200" w:space="720"/>
            <w:col w:w="2660" w:space="720"/>
            <w:col w:w="2940"/>
          </w:cols>
          <w:pgMar w:left="320" w:top="1440" w:right="339" w:bottom="1440" w:gutter="0" w:footer="0" w:header="0"/>
          <w:type w:val="continuous"/>
        </w:sectPr>
      </w:pPr>
    </w:p>
    <w:p>
      <w:pPr>
        <w:ind w:left="2240"/>
        <w:spacing w:after="0"/>
        <w:rPr>
          <w:sz w:val="20"/>
          <w:szCs w:val="20"/>
          <w:color w:val="auto"/>
        </w:rPr>
      </w:pPr>
      <w:r>
        <w:rPr>
          <w:rFonts w:ascii="Arial" w:cs="Arial" w:eastAsia="Arial" w:hAnsi="Arial"/>
          <w:sz w:val="10"/>
          <w:szCs w:val="10"/>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Identification No.)</w:t>
      </w:r>
    </w:p>
    <w:p>
      <w:pPr>
        <w:spacing w:after="0" w:line="186"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ind w:left="2940"/>
        <w:spacing w:after="0"/>
        <w:rPr>
          <w:sz w:val="20"/>
          <w:szCs w:val="20"/>
          <w:color w:val="auto"/>
        </w:rPr>
      </w:pPr>
      <w:r>
        <w:rPr>
          <w:rFonts w:ascii="Arial" w:cs="Arial" w:eastAsia="Arial" w:hAnsi="Arial"/>
          <w:sz w:val="14"/>
          <w:szCs w:val="14"/>
          <w:b w:val="1"/>
          <w:bCs w:val="1"/>
          <w:color w:val="auto"/>
        </w:rPr>
        <w:t>1111 Louisiana</w:t>
      </w:r>
    </w:p>
    <w:p>
      <w:pPr>
        <w:spacing w:after="0" w:line="55" w:lineRule="exact"/>
        <w:rPr>
          <w:sz w:val="24"/>
          <w:szCs w:val="24"/>
          <w:color w:val="auto"/>
        </w:rPr>
      </w:pPr>
    </w:p>
    <w:p>
      <w:pPr>
        <w:ind w:left="2900"/>
        <w:spacing w:after="0"/>
        <w:rPr>
          <w:sz w:val="20"/>
          <w:szCs w:val="20"/>
          <w:color w:val="auto"/>
        </w:rPr>
      </w:pPr>
      <w:r>
        <w:rPr>
          <w:rFonts w:ascii="Arial" w:cs="Arial" w:eastAsia="Arial" w:hAnsi="Arial"/>
          <w:sz w:val="14"/>
          <w:szCs w:val="14"/>
          <w:b w:val="1"/>
          <w:bCs w:val="1"/>
          <w:color w:val="auto"/>
        </w:rPr>
        <w:t>Houston Texas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77002</w:t>
      </w:r>
    </w:p>
    <w:p>
      <w:pPr>
        <w:spacing w:after="0" w:line="95" w:lineRule="exact"/>
        <w:rPr>
          <w:sz w:val="24"/>
          <w:szCs w:val="24"/>
          <w:color w:val="auto"/>
        </w:rPr>
      </w:pPr>
    </w:p>
    <w:p>
      <w:pPr>
        <w:sectPr>
          <w:pgSz w:w="11900" w:h="16838" w:orient="portrait"/>
          <w:cols w:equalWidth="0" w:num="2">
            <w:col w:w="6260" w:space="720"/>
            <w:col w:w="4260"/>
          </w:cols>
          <w:pgMar w:left="320" w:top="1440" w:right="339" w:bottom="1440" w:gutter="0" w:footer="0" w:header="0"/>
          <w:type w:val="continuous"/>
        </w:sectPr>
      </w:pPr>
    </w:p>
    <w:p>
      <w:pPr>
        <w:jc w:val="center"/>
        <w:ind w:left="66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200" w:lineRule="exact"/>
        <w:rPr>
          <w:sz w:val="24"/>
          <w:szCs w:val="24"/>
          <w:color w:val="auto"/>
        </w:rPr>
      </w:pPr>
    </w:p>
    <w:p>
      <w:pPr>
        <w:sectPr>
          <w:pgSz w:w="11900" w:h="16838" w:orient="portrait"/>
          <w:cols w:equalWidth="0" w:num="2">
            <w:col w:w="6180" w:space="720"/>
            <w:col w:w="4340"/>
          </w:cols>
          <w:pgMar w:left="320" w:top="1440" w:right="339" w:bottom="1440" w:gutter="0" w:footer="0" w:header="0"/>
          <w:type w:val="continuous"/>
        </w:sectPr>
      </w:pPr>
    </w:p>
    <w:p>
      <w:pPr>
        <w:spacing w:after="0" w:line="9"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  207-1111</w:t>
      </w:r>
    </w:p>
    <w:p>
      <w:pPr>
        <w:spacing w:after="0" w:line="360" w:lineRule="exact"/>
        <w:rPr>
          <w:sz w:val="24"/>
          <w:szCs w:val="24"/>
          <w:color w:val="auto"/>
        </w:rPr>
      </w:pPr>
    </w:p>
    <w:p>
      <w:pPr>
        <w:ind w:firstLine="187"/>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226"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43"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33" w:lineRule="exact"/>
        <w:rPr>
          <w:sz w:val="24"/>
          <w:szCs w:val="24"/>
          <w:color w:val="auto"/>
        </w:rPr>
      </w:pPr>
    </w:p>
    <w:tbl>
      <w:tblPr>
        <w:tblLayout w:type="fixed"/>
        <w:tblInd w:w="280" w:type="dxa"/>
        <w:tblCellMar>
          <w:top w:w="0" w:type="dxa"/>
          <w:left w:w="0" w:type="dxa"/>
          <w:bottom w:w="0" w:type="dxa"/>
          <w:right w:w="0" w:type="dxa"/>
        </w:tblCellMar>
      </w:tblPr>
      <w:tr>
        <w:trPr>
          <w:trHeight w:val="206"/>
        </w:trPr>
        <w:tc>
          <w:tcPr>
            <w:tcW w:w="43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32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219"/>
        </w:trPr>
        <w:tc>
          <w:tcPr>
            <w:tcW w:w="43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0"/>
              </w:rPr>
              <w:t>Title of each class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0"/>
              </w:rPr>
              <w:t>Name of each exchange on which registered</w:t>
            </w:r>
          </w:p>
        </w:tc>
      </w:tr>
      <w:tr>
        <w:trPr>
          <w:trHeight w:val="220"/>
        </w:trPr>
        <w:tc>
          <w:tcPr>
            <w:tcW w:w="4340" w:type="dxa"/>
            <w:vAlign w:val="bottom"/>
          </w:tcPr>
          <w:p>
            <w:pPr>
              <w:jc w:val="center"/>
              <w:ind w:left="139"/>
              <w:spacing w:after="0"/>
              <w:rPr>
                <w:sz w:val="20"/>
                <w:szCs w:val="20"/>
                <w:color w:val="auto"/>
              </w:rPr>
            </w:pPr>
            <w:r>
              <w:rPr>
                <w:rFonts w:ascii="Arial" w:cs="Arial" w:eastAsia="Arial" w:hAnsi="Arial"/>
                <w:sz w:val="16"/>
                <w:szCs w:val="16"/>
                <w:color w:val="auto"/>
                <w:w w:val="90"/>
              </w:rPr>
              <w:t>Common Stock, $0.01 par value</w:t>
            </w:r>
          </w:p>
        </w:tc>
        <w:tc>
          <w:tcPr>
            <w:tcW w:w="2320" w:type="dxa"/>
            <w:vAlign w:val="bottom"/>
          </w:tcPr>
          <w:p>
            <w:pPr>
              <w:jc w:val="center"/>
              <w:spacing w:after="0"/>
              <w:rPr>
                <w:sz w:val="20"/>
                <w:szCs w:val="20"/>
                <w:color w:val="auto"/>
              </w:rPr>
            </w:pPr>
            <w:r>
              <w:rPr>
                <w:rFonts w:ascii="Arial" w:cs="Arial" w:eastAsia="Arial" w:hAnsi="Arial"/>
                <w:sz w:val="16"/>
                <w:szCs w:val="16"/>
                <w:color w:val="auto"/>
                <w:w w:val="94"/>
              </w:rPr>
              <w:t>CNP</w:t>
            </w:r>
          </w:p>
        </w:tc>
        <w:tc>
          <w:tcPr>
            <w:tcW w:w="4040" w:type="dxa"/>
            <w:vAlign w:val="bottom"/>
          </w:tcPr>
          <w:p>
            <w:pPr>
              <w:jc w:val="center"/>
              <w:ind w:right="79"/>
              <w:spacing w:after="0"/>
              <w:rPr>
                <w:sz w:val="20"/>
                <w:szCs w:val="20"/>
                <w:color w:val="auto"/>
              </w:rPr>
            </w:pPr>
            <w:r>
              <w:rPr>
                <w:rFonts w:ascii="Arial" w:cs="Arial" w:eastAsia="Arial" w:hAnsi="Arial"/>
                <w:sz w:val="16"/>
                <w:szCs w:val="16"/>
                <w:color w:val="auto"/>
                <w:w w:val="92"/>
              </w:rPr>
              <w:t>The New York Stock Exchange</w:t>
            </w:r>
          </w:p>
        </w:tc>
      </w:tr>
      <w:tr>
        <w:trPr>
          <w:trHeight w:val="216"/>
        </w:trPr>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40" w:type="dxa"/>
            <w:vAlign w:val="bottom"/>
          </w:tcPr>
          <w:p>
            <w:pPr>
              <w:jc w:val="center"/>
              <w:ind w:right="79"/>
              <w:spacing w:after="0"/>
              <w:rPr>
                <w:sz w:val="20"/>
                <w:szCs w:val="20"/>
                <w:color w:val="auto"/>
              </w:rPr>
            </w:pPr>
            <w:r>
              <w:rPr>
                <w:rFonts w:ascii="Arial" w:cs="Arial" w:eastAsia="Arial" w:hAnsi="Arial"/>
                <w:sz w:val="16"/>
                <w:szCs w:val="16"/>
                <w:color w:val="auto"/>
                <w:w w:val="91"/>
              </w:rPr>
              <w:t>Chicago Stock Exchange, Inc.</w:t>
            </w:r>
          </w:p>
        </w:tc>
      </w:tr>
    </w:tbl>
    <w:p>
      <w:pPr>
        <w:spacing w:after="0" w:line="334"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or Rule 12b-2 of the Securities Exchange Act of 1934 (§240.12b-2).</w:t>
      </w:r>
    </w:p>
    <w:p>
      <w:pPr>
        <w:spacing w:after="0" w:line="18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328" w:lineRule="exact"/>
        <w:rPr>
          <w:sz w:val="24"/>
          <w:szCs w:val="24"/>
          <w:color w:val="auto"/>
        </w:rPr>
      </w:pPr>
    </w:p>
    <w:p>
      <w:pPr>
        <w:ind w:right="580"/>
        <w:spacing w:after="0" w:line="32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960" w:right="120" w:hanging="1295"/>
        <w:spacing w:after="0" w:line="266"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2022 Annual Meeting of Shareholders of CenterPoint Energy, Inc. ("CenterPoint Energy"), which was held on April 22, 2022 (the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CenterPoint Energy's shareholders approved the CenterPoint Energy, Inc. 2022 Long Term Incentive Plan (the "2022 Plan"). The 2022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 was previously approved, subject to shareholder approval, by the Board of Directors of CenterPoint Energy (the "Board").</w:t>
      </w:r>
    </w:p>
    <w:p>
      <w:pPr>
        <w:spacing w:after="0" w:line="2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A summary of the material terms and conditions of the 2022 Plan and awards thereunder is included in CenterPoint Energy's definitive proxy statement filed with the Securities and Exchange Commission on March 11, 2022 (the "Proxy Statement") under "Item 4: Approval of Adoption of CenterPoint Energy, Inc. 2022 Long Term Incentive Plan," which section is incorporated herein by reference. The preceding summary is qualified in its entirety by, and should be read in conjunction with, the 2022 Plan, which is attached as Exhibit 10.1 to this Form 8-K and incorporated herein by reference. The forms of the award agreements under the 2022 Plan are included as Exhibits 10.2 through 10.8 hereto and incorporated by reference herein.</w:t>
      </w:r>
    </w:p>
    <w:p>
      <w:pPr>
        <w:spacing w:after="0" w:line="186"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On April 22, 2022, the Board approved the Second Amendment (the "Amendment") to the CenterPoint Energy 2005 Deferred Compensation Plan (as amended and restated effective January 1, 2009) (the "Deferred Compensation Plan") to freeze the Deferred Compensation Plan such that no additional deferrals of compensation may be made under such plan on or after January 1, 2023, including from any bonus otherwise payable on or after the date.</w:t>
      </w:r>
    </w:p>
    <w:p>
      <w:pPr>
        <w:spacing w:after="0" w:line="174" w:lineRule="exact"/>
        <w:rPr>
          <w:sz w:val="20"/>
          <w:szCs w:val="20"/>
          <w:color w:val="auto"/>
        </w:rPr>
      </w:pPr>
    </w:p>
    <w:p>
      <w:pPr>
        <w:jc w:val="both"/>
        <w:ind w:right="40" w:firstLine="648"/>
        <w:spacing w:after="0" w:line="324" w:lineRule="auto"/>
        <w:rPr>
          <w:sz w:val="20"/>
          <w:szCs w:val="20"/>
          <w:color w:val="auto"/>
        </w:rPr>
      </w:pPr>
      <w:r>
        <w:rPr>
          <w:rFonts w:ascii="Arial" w:cs="Arial" w:eastAsia="Arial" w:hAnsi="Arial"/>
          <w:sz w:val="16"/>
          <w:szCs w:val="16"/>
          <w:color w:val="auto"/>
        </w:rPr>
        <w:t>The descriptions of the Deferred Compensation Plan and the Amendment are qualified in their entirety by reference to the full text of the Deferred Compensation Plan and the Amendment, which are included as Exhibits 10.9, 10.10 and 10.11, respectively, hereto and incorporated by reference herein.</w:t>
      </w:r>
    </w:p>
    <w:p>
      <w:pPr>
        <w:spacing w:after="0" w:line="15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 previously disclosed by CenterPoint Energy in its Current Report on Form 8-K filed with the SEC on December 13, 2021, Kenneth M. Mercado, former Executive Vice President, Electric Utility, stepped down from his positions with CenterPoint Energy and its affiliated entities effective January 1, 2022. Mr. Mercado agreed to remain with CenterPoint Energy through the second quarter of 2022 to support the transition of his responsibilities. Mr. Mercado has informed CenterPoint Energy that he will retire on July 5, 2022. In connection with his retirement, Mr. Mercado is "retirement eligible" and will qualify for "enhanced retirement" under CenterPoint Energy's long term incentive plan if he satisfies the requirements set forth in the applicable award agreements prior to his retirement, which are included as exhibits 10(p)(2), 10(p)(5) and 10(p)(12) to CenterPoint Energy's Annual Report on Form 10-K for the year ended December 31, 2021.</w:t>
      </w:r>
    </w:p>
    <w:p>
      <w:pPr>
        <w:spacing w:after="0" w:line="2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the 2022 Annual Meeting, the matters voted upon and the number of votes cast for or against, as well as the number of abstentions and broker non-votes as to such matters, were as stated below. The proposals related to each matter are described in detail in the Proxy Statement. The voting results for each matter are set out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Election of Directors (Item 1)</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86"/>
        </w:trPr>
        <w:tc>
          <w:tcPr>
            <w:tcW w:w="3200" w:type="dxa"/>
            <w:vAlign w:val="bottom"/>
            <w:gridSpan w:val="2"/>
          </w:tcPr>
          <w:p>
            <w:pPr>
              <w:ind w:left="1200"/>
              <w:spacing w:after="0"/>
              <w:rPr>
                <w:sz w:val="20"/>
                <w:szCs w:val="20"/>
                <w:color w:val="auto"/>
              </w:rPr>
            </w:pPr>
            <w:r>
              <w:rPr>
                <w:rFonts w:ascii="Arial" w:cs="Arial" w:eastAsia="Arial" w:hAnsi="Arial"/>
                <w:sz w:val="18"/>
                <w:szCs w:val="18"/>
                <w:b w:val="1"/>
                <w:bCs w:val="1"/>
                <w:color w:val="auto"/>
              </w:rPr>
              <w:t>Nominee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Against</w:t>
            </w:r>
          </w:p>
        </w:tc>
        <w:tc>
          <w:tcPr>
            <w:tcW w:w="2020" w:type="dxa"/>
            <w:vAlign w:val="bottom"/>
            <w:gridSpan w:val="2"/>
          </w:tcPr>
          <w:p>
            <w:pPr>
              <w:ind w:left="500"/>
              <w:spacing w:after="0"/>
              <w:rPr>
                <w:sz w:val="20"/>
                <w:szCs w:val="20"/>
                <w:color w:val="auto"/>
              </w:rPr>
            </w:pPr>
            <w:r>
              <w:rPr>
                <w:rFonts w:ascii="Arial" w:cs="Arial" w:eastAsia="Arial" w:hAnsi="Arial"/>
                <w:sz w:val="18"/>
                <w:szCs w:val="18"/>
                <w:b w:val="1"/>
                <w:bCs w:val="1"/>
                <w:color w:val="auto"/>
              </w:rPr>
              <w:t>Abstentions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Wendy Montoya Cloonan</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449,904,352</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68,554,289</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700,258</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Earl M. Cummings</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431,076,469</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87,122,663</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959,767</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36,777,397</w:t>
            </w:r>
          </w:p>
        </w:tc>
      </w:tr>
      <w:tr>
        <w:trPr>
          <w:trHeight w:val="22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Christopher H. Franklin</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516,129,182</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2,159,152</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870,565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David J. Lesar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515,648,004</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2,731,897</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778,998</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Raquelle W. Lewis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514,006,163</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4,434,489</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718,247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Martin H. Nesbitt</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511,960,533</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6,183,651</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1,014,715</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36,777,397</w:t>
            </w:r>
          </w:p>
        </w:tc>
      </w:tr>
      <w:tr>
        <w:trPr>
          <w:trHeight w:val="22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Theodore F. Pound</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401,989,344</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116,399,700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769,855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Phillip R. Smith</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508,346,841</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10,035,664</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776,394</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36,777,397</w:t>
            </w:r>
          </w:p>
        </w:tc>
      </w:tr>
      <w:tr>
        <w:trPr>
          <w:trHeight w:val="23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Barry T. Smitherman</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505,551,578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12,784,545</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822,776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Abstentions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528,531,171</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26,736,809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668,316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 (Item 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3600" w:type="dxa"/>
            <w:vAlign w:val="bottom"/>
            <w:gridSpan w:val="3"/>
          </w:tcPr>
          <w:p>
            <w:pPr>
              <w:ind w:left="1060"/>
              <w:spacing w:after="0"/>
              <w:rPr>
                <w:sz w:val="20"/>
                <w:szCs w:val="20"/>
                <w:color w:val="auto"/>
              </w:rPr>
            </w:pPr>
            <w:r>
              <w:rPr>
                <w:rFonts w:ascii="Arial" w:cs="Arial" w:eastAsia="Arial" w:hAnsi="Arial"/>
                <w:sz w:val="18"/>
                <w:szCs w:val="18"/>
                <w:b w:val="1"/>
                <w:bCs w:val="1"/>
                <w:color w:val="auto"/>
              </w:rPr>
              <w:t>Against</w:t>
            </w:r>
          </w:p>
        </w:tc>
        <w:tc>
          <w:tcPr>
            <w:tcW w:w="20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Abstentions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114,856,702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402,992,832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89"/>
              </w:rPr>
              <w:t>1,309,365</w:t>
            </w:r>
          </w:p>
        </w:tc>
        <w:tc>
          <w:tcPr>
            <w:tcW w:w="12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r>
        <w:trPr>
          <w:trHeight w:val="540"/>
        </w:trPr>
        <w:tc>
          <w:tcPr>
            <w:tcW w:w="6420" w:type="dxa"/>
            <w:vAlign w:val="bottom"/>
            <w:gridSpan w:val="5"/>
          </w:tcPr>
          <w:p>
            <w:pPr>
              <w:spacing w:after="0"/>
              <w:rPr>
                <w:sz w:val="20"/>
                <w:szCs w:val="20"/>
                <w:color w:val="auto"/>
              </w:rPr>
            </w:pPr>
            <w:r>
              <w:rPr>
                <w:rFonts w:ascii="Arial" w:cs="Arial" w:eastAsia="Arial" w:hAnsi="Arial"/>
                <w:sz w:val="18"/>
                <w:szCs w:val="18"/>
                <w:b w:val="1"/>
                <w:bCs w:val="1"/>
                <w:color w:val="auto"/>
                <w:w w:val="93"/>
              </w:rPr>
              <w:t>Approval of the CenterPoint Energy, Inc. 2022 Long Term Incentive Plan (Item 4)</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86"/>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3600" w:type="dxa"/>
            <w:vAlign w:val="bottom"/>
            <w:gridSpan w:val="3"/>
          </w:tcPr>
          <w:p>
            <w:pPr>
              <w:ind w:left="1060"/>
              <w:spacing w:after="0"/>
              <w:rPr>
                <w:sz w:val="20"/>
                <w:szCs w:val="20"/>
                <w:color w:val="auto"/>
              </w:rPr>
            </w:pPr>
            <w:r>
              <w:rPr>
                <w:rFonts w:ascii="Arial" w:cs="Arial" w:eastAsia="Arial" w:hAnsi="Arial"/>
                <w:sz w:val="18"/>
                <w:szCs w:val="18"/>
                <w:b w:val="1"/>
                <w:bCs w:val="1"/>
                <w:color w:val="auto"/>
              </w:rPr>
              <w:t>Against</w:t>
            </w:r>
          </w:p>
        </w:tc>
        <w:tc>
          <w:tcPr>
            <w:tcW w:w="20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Abstentions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476,822,394</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41,177,142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89"/>
              </w:rPr>
              <w:t>1,159,363</w:t>
            </w:r>
          </w:p>
        </w:tc>
        <w:tc>
          <w:tcPr>
            <w:tcW w:w="12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36,777,397</w:t>
            </w: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60" w:type="dxa"/>
            <w:vAlign w:val="bottom"/>
            <w:gridSpan w:val="2"/>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360" w:type="dxa"/>
            <w:vAlign w:val="bottom"/>
            <w:tcBorders>
              <w:top w:val="single" w:sz="8" w:color="auto"/>
              <w:bottom w:val="single" w:sz="8" w:color="auto"/>
            </w:tcBorders>
            <w:vMerge w:val="restart"/>
          </w:tcPr>
          <w:p>
            <w:pPr>
              <w:jc w:val="center"/>
              <w:ind w:left="357"/>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360" w:type="dxa"/>
            <w:vAlign w:val="bottom"/>
            <w:tcBorders>
              <w:top w:val="single" w:sz="8" w:color="auto"/>
              <w:bottom w:val="single" w:sz="8" w:color="0000FF"/>
            </w:tcBorders>
            <w:gridSpan w:val="2"/>
          </w:tcPr>
          <w:p>
            <w:pPr>
              <w:spacing w:after="0"/>
              <w:rPr>
                <w:rFonts w:ascii="Arial" w:cs="Arial" w:eastAsia="Arial" w:hAnsi="Arial"/>
                <w:sz w:val="18"/>
                <w:szCs w:val="18"/>
                <w:color w:val="0000FF"/>
                <w:w w:val="97"/>
              </w:rPr>
            </w:pPr>
            <w:hyperlink r:id="rId14">
              <w:r>
                <w:rPr>
                  <w:rFonts w:ascii="Arial" w:cs="Arial" w:eastAsia="Arial" w:hAnsi="Arial"/>
                  <w:sz w:val="18"/>
                  <w:szCs w:val="18"/>
                  <w:color w:val="0000FF"/>
                  <w:w w:val="97"/>
                </w:rPr>
                <w:t>CenterPoint Energy, Inc. 2022</w:t>
              </w:r>
            </w:hyperlink>
          </w:p>
        </w:tc>
        <w:tc>
          <w:tcPr>
            <w:tcW w:w="3260" w:type="dxa"/>
            <w:vAlign w:val="bottom"/>
            <w:tcBorders>
              <w:top w:val="single" w:sz="8" w:color="auto"/>
              <w:bottom w:val="single" w:sz="8" w:color="0000FF"/>
            </w:tcBorders>
            <w:gridSpan w:val="2"/>
          </w:tcPr>
          <w:p>
            <w:pPr>
              <w:ind w:left="100"/>
              <w:spacing w:after="0"/>
              <w:rPr>
                <w:rFonts w:ascii="Arial" w:cs="Arial" w:eastAsia="Arial" w:hAnsi="Arial"/>
                <w:sz w:val="18"/>
                <w:szCs w:val="18"/>
                <w:color w:val="0000FF"/>
                <w:w w:val="99"/>
              </w:rPr>
            </w:pPr>
            <w:hyperlink r:id="rId14">
              <w:r>
                <w:rPr>
                  <w:rFonts w:ascii="Arial" w:cs="Arial" w:eastAsia="Arial" w:hAnsi="Arial"/>
                  <w:sz w:val="18"/>
                  <w:szCs w:val="18"/>
                  <w:color w:val="0000FF"/>
                  <w:w w:val="99"/>
                </w:rPr>
                <w:t>Long Term Incentive Plan (incorporated</w:t>
              </w:r>
            </w:hyperlink>
          </w:p>
        </w:tc>
        <w:tc>
          <w:tcPr>
            <w:tcW w:w="2560" w:type="dxa"/>
            <w:vAlign w:val="bottom"/>
            <w:tcBorders>
              <w:top w:val="single" w:sz="8" w:color="auto"/>
              <w:bottom w:val="single" w:sz="8" w:color="0000FF"/>
            </w:tcBorders>
            <w:gridSpan w:val="2"/>
          </w:tcPr>
          <w:p>
            <w:pPr>
              <w:jc w:val="right"/>
              <w:spacing w:after="0"/>
              <w:rPr>
                <w:rFonts w:ascii="Arial" w:cs="Arial" w:eastAsia="Arial" w:hAnsi="Arial"/>
                <w:sz w:val="18"/>
                <w:szCs w:val="18"/>
                <w:color w:val="0000FF"/>
              </w:rPr>
            </w:pPr>
            <w:hyperlink r:id="rId14">
              <w:r>
                <w:rPr>
                  <w:rFonts w:ascii="Arial" w:cs="Arial" w:eastAsia="Arial" w:hAnsi="Arial"/>
                  <w:sz w:val="18"/>
                  <w:szCs w:val="18"/>
                  <w:color w:val="0000FF"/>
                </w:rPr>
                <w:t>by reference to Appendix A of</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40" w:type="dxa"/>
            <w:vAlign w:val="bottom"/>
            <w:gridSpan w:val="4"/>
            <w:vMerge w:val="restart"/>
          </w:tcPr>
          <w:p>
            <w:pPr>
              <w:spacing w:after="0" w:line="15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CenterPoint Energy's proxy statement filed March 11, 2022, File No. 001-31447)</w:t>
              </w:r>
            </w:hyperlink>
          </w:p>
        </w:tc>
        <w:tc>
          <w:tcPr>
            <w:tcW w:w="2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40" w:type="dxa"/>
            <w:vAlign w:val="bottom"/>
            <w:tcBorders>
              <w:bottom w:val="single" w:sz="8" w:color="0000FF"/>
            </w:tcBorders>
            <w:gridSpan w:val="4"/>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left="357"/>
              <w:spacing w:after="0"/>
              <w:rPr>
                <w:sz w:val="20"/>
                <w:szCs w:val="20"/>
                <w:color w:val="auto"/>
              </w:rPr>
            </w:pPr>
            <w:r>
              <w:rPr>
                <w:rFonts w:ascii="Arial" w:cs="Arial" w:eastAsia="Arial" w:hAnsi="Arial"/>
                <w:sz w:val="18"/>
                <w:szCs w:val="18"/>
                <w:color w:val="auto"/>
                <w:w w:val="91"/>
              </w:rPr>
              <w:t>10.2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gridSpan w:val="7"/>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Form of Performance Award Agreement for 20XX-20XX Performance Cycle for the CEO under Exhibit 10.1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restart"/>
          </w:tcPr>
          <w:p>
            <w:pPr>
              <w:jc w:val="center"/>
              <w:ind w:left="357"/>
              <w:spacing w:after="0"/>
              <w:rPr>
                <w:sz w:val="20"/>
                <w:szCs w:val="20"/>
                <w:color w:val="auto"/>
              </w:rPr>
            </w:pPr>
            <w:r>
              <w:rPr>
                <w:rFonts w:ascii="Arial" w:cs="Arial" w:eastAsia="Arial" w:hAnsi="Arial"/>
                <w:sz w:val="18"/>
                <w:szCs w:val="18"/>
                <w:color w:val="auto"/>
                <w:w w:val="91"/>
              </w:rPr>
              <w:t>10.3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Borders>
              <w:bottom w:val="single" w:sz="8" w:color="0000FF"/>
            </w:tcBorders>
            <w:gridSpan w:val="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Form of Performance Award</w:t>
              </w:r>
            </w:hyperlink>
          </w:p>
        </w:tc>
        <w:tc>
          <w:tcPr>
            <w:tcW w:w="3260" w:type="dxa"/>
            <w:vAlign w:val="bottom"/>
            <w:tcBorders>
              <w:bottom w:val="single" w:sz="8" w:color="0000FF"/>
            </w:tcBorders>
            <w:gridSpan w:val="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Agreement for 20XX-20XX Performance</w:t>
              </w:r>
            </w:hyperlink>
          </w:p>
        </w:tc>
        <w:tc>
          <w:tcPr>
            <w:tcW w:w="2560" w:type="dxa"/>
            <w:vAlign w:val="bottom"/>
            <w:tcBorders>
              <w:bottom w:val="single" w:sz="8" w:color="0000FF"/>
            </w:tcBorders>
            <w:gridSpan w:val="2"/>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Cycle for Officers and Director</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3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gridSpan w:val="2"/>
            <w:vMerge w:val="restart"/>
          </w:tcPr>
          <w:p>
            <w:pPr>
              <w:spacing w:after="0" w:line="156" w:lineRule="exact"/>
              <w:rPr>
                <w:rFonts w:ascii="Arial" w:cs="Arial" w:eastAsia="Arial" w:hAnsi="Arial"/>
                <w:sz w:val="18"/>
                <w:szCs w:val="18"/>
                <w:color w:val="0000FF"/>
                <w:w w:val="90"/>
              </w:rPr>
            </w:pPr>
            <w:hyperlink w:anchor="page15">
              <w:r>
                <w:rPr>
                  <w:rFonts w:ascii="Arial" w:cs="Arial" w:eastAsia="Arial" w:hAnsi="Arial"/>
                  <w:sz w:val="18"/>
                  <w:szCs w:val="18"/>
                  <w:color w:val="0000FF"/>
                  <w:w w:val="90"/>
                </w:rPr>
                <w:t>Employees under Exhibit 10.1</w:t>
              </w:r>
            </w:hyperlink>
          </w:p>
        </w:tc>
        <w:tc>
          <w:tcPr>
            <w:tcW w:w="6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80" w:type="dxa"/>
            <w:vAlign w:val="bottom"/>
            <w:tcBorders>
              <w:bottom w:val="single" w:sz="8" w:color="0000FF"/>
            </w:tcBorders>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3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260"/>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10.6</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10.7</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10.9</w:t>
      </w:r>
    </w:p>
    <w:p>
      <w:pPr>
        <w:spacing w:after="0" w:line="27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10.10</w:t>
      </w:r>
    </w:p>
    <w:p>
      <w:pPr>
        <w:spacing w:after="0" w:line="20" w:lineRule="exact"/>
        <w:rPr>
          <w:sz w:val="20"/>
          <w:szCs w:val="20"/>
          <w:color w:val="auto"/>
        </w:rPr>
      </w:pPr>
      <w:r>
        <w:rPr>
          <w:sz w:val="20"/>
          <w:szCs w:val="20"/>
          <w:color w:val="auto"/>
        </w:rPr>
        <w:br w:type="column"/>
      </w:r>
    </w:p>
    <w:p>
      <w:pPr>
        <w:ind w:left="4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Form of Restricted Stock Unit Award Agreement under Exhibit 10.1</w:t>
        </w:r>
      </w:hyperlink>
    </w:p>
    <w:p>
      <w:pPr>
        <w:spacing w:after="0" w:line="23" w:lineRule="exact"/>
        <w:rPr>
          <w:sz w:val="20"/>
          <w:szCs w:val="20"/>
          <w:color w:val="auto"/>
        </w:rPr>
      </w:pPr>
    </w:p>
    <w:p>
      <w:pPr>
        <w:ind w:left="440" w:right="500"/>
        <w:spacing w:after="0" w:line="281" w:lineRule="auto"/>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Form of Restricted Stock Unit Award Agreement for the CEO (with Performance Goals) under Exhibit 10.1</w:t>
        </w:r>
      </w:hyperlink>
      <w:r>
        <w:rPr>
          <w:rFonts w:ascii="Arial" w:cs="Arial" w:eastAsia="Arial" w:hAnsi="Arial"/>
          <w:sz w:val="17"/>
          <w:szCs w:val="17"/>
          <w:u w:val="single" w:color="auto"/>
          <w:color w:val="0000FF"/>
        </w:rPr>
        <w:t xml:space="preserve"> </w:t>
      </w:r>
      <w:hyperlink w:anchor="page45">
        <w:r>
          <w:rPr>
            <w:rFonts w:ascii="Arial" w:cs="Arial" w:eastAsia="Arial" w:hAnsi="Arial"/>
            <w:sz w:val="17"/>
            <w:szCs w:val="17"/>
            <w:u w:val="single" w:color="auto"/>
            <w:color w:val="0000FF"/>
          </w:rPr>
          <w:t>Form of Restricted Stock Unit Award Agreement (with Performance Goals) under Exhibit 10.1</w:t>
        </w:r>
      </w:hyperlink>
    </w:p>
    <w:p>
      <w:pPr>
        <w:spacing w:after="0" w:line="1" w:lineRule="exact"/>
        <w:rPr>
          <w:sz w:val="20"/>
          <w:szCs w:val="20"/>
          <w:color w:val="auto"/>
        </w:rPr>
      </w:pPr>
    </w:p>
    <w:p>
      <w:pPr>
        <w:jc w:val="both"/>
        <w:ind w:right="80" w:firstLine="445"/>
        <w:spacing w:after="0" w:line="234" w:lineRule="auto"/>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Form of Restricted Stock Unit Award Agreement for Officers and Director Employees (with Performance Goals)</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under Exhibit 10.1</w:t>
        </w:r>
      </w:hyperlink>
    </w:p>
    <w:p>
      <w:pPr>
        <w:spacing w:after="0" w:line="1" w:lineRule="exact"/>
        <w:rPr>
          <w:sz w:val="20"/>
          <w:szCs w:val="20"/>
          <w:color w:val="auto"/>
        </w:rPr>
      </w:pPr>
    </w:p>
    <w:p>
      <w:pPr>
        <w:ind w:left="4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Form of Restricted Stock Unit Award Agreement for the CEO under Exhibit 10.1</w:t>
        </w:r>
      </w:hyperlink>
    </w:p>
    <w:p>
      <w:pPr>
        <w:spacing w:after="0" w:line="23" w:lineRule="exact"/>
        <w:rPr>
          <w:sz w:val="20"/>
          <w:szCs w:val="20"/>
          <w:color w:val="auto"/>
        </w:rPr>
      </w:pPr>
    </w:p>
    <w:p>
      <w:pPr>
        <w:jc w:val="both"/>
        <w:ind w:right="80" w:firstLine="445"/>
        <w:spacing w:after="0" w:line="224"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Amended and Restated CenterPoint Energy 2005 Deferred Compensation Plan, effective January 1, 2009</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(incorporated by reference to Exhibit 10.1 to the Quarterly Report on Form 10-Q of CenterPoint Energy's for the</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quarter ended September 30, 2008)</w:t>
        </w:r>
      </w:hyperlink>
    </w:p>
    <w:p>
      <w:pPr>
        <w:spacing w:after="0" w:line="1" w:lineRule="exact"/>
        <w:rPr>
          <w:rFonts w:ascii="Arial" w:cs="Arial" w:eastAsia="Arial" w:hAnsi="Arial"/>
          <w:sz w:val="18"/>
          <w:szCs w:val="18"/>
          <w:u w:val="single" w:color="auto"/>
          <w:color w:val="0000FF"/>
        </w:rPr>
      </w:pPr>
    </w:p>
    <w:p>
      <w:pPr>
        <w:jc w:val="both"/>
        <w:ind w:right="80" w:firstLine="445"/>
        <w:spacing w:after="0" w:line="234" w:lineRule="auto"/>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First Amendment effective March 1, 2022 to Amended and Restated CenterPoint Energy 2005 Deferred</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Compensation Plan effective January 1, 2009</w:t>
        </w:r>
      </w:hyperlink>
    </w:p>
    <w:p>
      <w:pPr>
        <w:spacing w:after="0" w:line="1" w:lineRule="exact"/>
        <w:rPr>
          <w:sz w:val="20"/>
          <w:szCs w:val="20"/>
          <w:color w:val="auto"/>
        </w:rPr>
      </w:pPr>
    </w:p>
    <w:p>
      <w:pPr>
        <w:sectPr>
          <w:pgSz w:w="11900" w:h="16838" w:orient="portrait"/>
          <w:cols w:equalWidth="0" w:num="2">
            <w:col w:w="1820" w:space="720"/>
            <w:col w:w="87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540" w:type="dxa"/>
            <w:vAlign w:val="bottom"/>
            <w:vMerge w:val="restart"/>
          </w:tcPr>
          <w:p>
            <w:pPr>
              <w:jc w:val="right"/>
              <w:ind w:right="830"/>
              <w:spacing w:after="0"/>
              <w:rPr>
                <w:sz w:val="20"/>
                <w:szCs w:val="20"/>
                <w:color w:val="auto"/>
              </w:rPr>
            </w:pPr>
            <w:r>
              <w:rPr>
                <w:rFonts w:ascii="Arial" w:cs="Arial" w:eastAsia="Arial" w:hAnsi="Arial"/>
                <w:sz w:val="18"/>
                <w:szCs w:val="18"/>
                <w:color w:val="auto"/>
              </w:rPr>
              <w:t>10.11</w:t>
            </w:r>
          </w:p>
        </w:tc>
        <w:tc>
          <w:tcPr>
            <w:tcW w:w="8700" w:type="dxa"/>
            <w:vAlign w:val="bottom"/>
            <w:gridSpan w:val="4"/>
          </w:tcPr>
          <w:p>
            <w:pPr>
              <w:ind w:left="440"/>
              <w:spacing w:after="0" w:line="190"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Form of Second Amendment effective May 1, 2022 to Amended and Restated CenterPoint Energy 2005 Deferred</w:t>
              </w:r>
            </w:hyperlink>
          </w:p>
        </w:tc>
        <w:tc>
          <w:tcPr>
            <w:tcW w:w="0" w:type="dxa"/>
            <w:vAlign w:val="bottom"/>
          </w:tcPr>
          <w:p>
            <w:pPr>
              <w:spacing w:after="0"/>
              <w:rPr>
                <w:sz w:val="1"/>
                <w:szCs w:val="1"/>
                <w:color w:val="auto"/>
              </w:rPr>
            </w:pPr>
          </w:p>
        </w:tc>
      </w:tr>
      <w:tr>
        <w:trPr>
          <w:trHeight w:val="20"/>
        </w:trPr>
        <w:tc>
          <w:tcPr>
            <w:tcW w:w="25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40" w:type="dxa"/>
            <w:vAlign w:val="bottom"/>
            <w:vMerge w:val="continue"/>
          </w:tcPr>
          <w:p>
            <w:pPr>
              <w:spacing w:after="0"/>
              <w:rPr>
                <w:sz w:val="8"/>
                <w:szCs w:val="8"/>
                <w:color w:val="auto"/>
              </w:rPr>
            </w:pPr>
          </w:p>
        </w:tc>
        <w:tc>
          <w:tcPr>
            <w:tcW w:w="3260" w:type="dxa"/>
            <w:vAlign w:val="bottom"/>
            <w:gridSpan w:val="2"/>
            <w:vMerge w:val="restart"/>
          </w:tcPr>
          <w:p>
            <w:pPr>
              <w:spacing w:after="0" w:line="15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Compensation Plan effective January 1, 2009</w:t>
              </w:r>
            </w:hyperlink>
          </w:p>
        </w:tc>
        <w:tc>
          <w:tcPr>
            <w:tcW w:w="544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540" w:type="dxa"/>
            <w:vAlign w:val="bottom"/>
          </w:tcPr>
          <w:p>
            <w:pPr>
              <w:spacing w:after="0"/>
              <w:rPr>
                <w:sz w:val="4"/>
                <w:szCs w:val="4"/>
                <w:color w:val="auto"/>
              </w:rPr>
            </w:pPr>
          </w:p>
        </w:tc>
        <w:tc>
          <w:tcPr>
            <w:tcW w:w="3260" w:type="dxa"/>
            <w:vAlign w:val="bottom"/>
            <w:tcBorders>
              <w:bottom w:val="single" w:sz="8" w:color="0000FF"/>
            </w:tcBorders>
            <w:gridSpan w:val="2"/>
            <w:vMerge w:val="continue"/>
          </w:tcPr>
          <w:p>
            <w:pPr>
              <w:spacing w:after="0"/>
              <w:rPr>
                <w:sz w:val="4"/>
                <w:szCs w:val="4"/>
                <w:color w:val="auto"/>
              </w:rPr>
            </w:pPr>
          </w:p>
        </w:tc>
        <w:tc>
          <w:tcPr>
            <w:tcW w:w="5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40" w:type="dxa"/>
            <w:vAlign w:val="bottom"/>
          </w:tcPr>
          <w:p>
            <w:pPr>
              <w:jc w:val="right"/>
              <w:ind w:right="890"/>
              <w:spacing w:after="0"/>
              <w:rPr>
                <w:sz w:val="20"/>
                <w:szCs w:val="20"/>
                <w:color w:val="auto"/>
              </w:rPr>
            </w:pPr>
            <w:r>
              <w:rPr>
                <w:rFonts w:ascii="Arial" w:cs="Arial" w:eastAsia="Arial" w:hAnsi="Arial"/>
                <w:sz w:val="18"/>
                <w:szCs w:val="18"/>
                <w:color w:val="auto"/>
              </w:rPr>
              <w:t>104</w:t>
            </w:r>
          </w:p>
        </w:tc>
        <w:tc>
          <w:tcPr>
            <w:tcW w:w="8700" w:type="dxa"/>
            <w:vAlign w:val="bottom"/>
            <w:gridSpan w:val="4"/>
          </w:tcPr>
          <w:p>
            <w:pPr>
              <w:ind w:left="440"/>
              <w:spacing w:after="0"/>
              <w:rPr>
                <w:sz w:val="20"/>
                <w:szCs w:val="20"/>
                <w:color w:val="auto"/>
              </w:rPr>
            </w:pPr>
            <w:r>
              <w:rPr>
                <w:rFonts w:ascii="Arial" w:cs="Arial" w:eastAsia="Arial" w:hAnsi="Arial"/>
                <w:sz w:val="18"/>
                <w:szCs w:val="18"/>
                <w:color w:val="auto"/>
                <w:w w:val="94"/>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316"/>
        </w:trPr>
        <w:tc>
          <w:tcPr>
            <w:tcW w:w="2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firstLine="4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CENTERPOINT ENERGY, INC.</w:t>
      </w:r>
    </w:p>
    <w:p>
      <w:pPr>
        <w:spacing w:after="0" w:line="243"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8"/>
          <w:szCs w:val="18"/>
          <w:color w:val="auto"/>
        </w:rPr>
        <w:t>Date: April 25, 2022</w:t>
      </w:r>
      <w:r>
        <w:rPr>
          <w:sz w:val="20"/>
          <w:szCs w:val="20"/>
          <w:color w:val="auto"/>
        </w:rPr>
        <w:tab/>
      </w:r>
      <w:r>
        <w:rPr>
          <w:rFonts w:ascii="Arial" w:cs="Arial" w:eastAsia="Arial" w:hAnsi="Arial"/>
          <w:sz w:val="17"/>
          <w:szCs w:val="17"/>
          <w:color w:val="auto"/>
        </w:rPr>
        <w:t>By: /s/ Monica Karuturi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14605</wp:posOffset>
            </wp:positionV>
            <wp:extent cx="169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Monica Karuturi</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Executive Vice President and</w:t>
      </w:r>
    </w:p>
    <w:p>
      <w:pPr>
        <w:ind w:left="85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CENTERPOINT ENERGY, INC.</w:t>
      </w:r>
    </w:p>
    <w:p>
      <w:pPr>
        <w:jc w:val="center"/>
        <w:spacing w:after="0" w:line="204" w:lineRule="auto"/>
        <w:rPr>
          <w:sz w:val="20"/>
          <w:szCs w:val="20"/>
          <w:color w:val="auto"/>
        </w:rPr>
      </w:pPr>
      <w:r>
        <w:rPr>
          <w:rFonts w:ascii="Arial" w:cs="Arial" w:eastAsia="Arial" w:hAnsi="Arial"/>
          <w:sz w:val="22"/>
          <w:szCs w:val="22"/>
          <w:b w:val="1"/>
          <w:bCs w:val="1"/>
          <w:color w:val="auto"/>
        </w:rPr>
        <w:t>2022 LONG TERM INCENTIVE PLAN</w:t>
      </w:r>
    </w:p>
    <w:p>
      <w:pPr>
        <w:jc w:val="center"/>
        <w:spacing w:after="0" w:line="205" w:lineRule="auto"/>
        <w:rPr>
          <w:sz w:val="20"/>
          <w:szCs w:val="20"/>
          <w:color w:val="auto"/>
        </w:rPr>
      </w:pPr>
      <w:r>
        <w:rPr>
          <w:rFonts w:ascii="Arial" w:cs="Arial" w:eastAsia="Arial" w:hAnsi="Arial"/>
          <w:sz w:val="22"/>
          <w:szCs w:val="22"/>
          <w:b w:val="1"/>
          <w:bCs w:val="1"/>
          <w:color w:val="auto"/>
        </w:rPr>
        <w:t>PERFORMANCE AWARD AGREEMENT</w:t>
      </w:r>
    </w:p>
    <w:p>
      <w:pPr>
        <w:jc w:val="center"/>
        <w:spacing w:after="0" w:line="205" w:lineRule="auto"/>
        <w:rPr>
          <w:sz w:val="20"/>
          <w:szCs w:val="20"/>
          <w:color w:val="auto"/>
        </w:rPr>
      </w:pPr>
      <w:r>
        <w:rPr>
          <w:rFonts w:ascii="Arial" w:cs="Arial" w:eastAsia="Arial" w:hAnsi="Arial"/>
          <w:sz w:val="22"/>
          <w:szCs w:val="22"/>
          <w:b w:val="1"/>
          <w:bCs w:val="1"/>
          <w:color w:val="auto"/>
        </w:rPr>
        <w:t>FOR THE CHIEF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1, 20XX – DECEMBER 31, 20XX PERFORMANCE CYCLE</w:t>
      </w:r>
    </w:p>
    <w:p>
      <w:pPr>
        <w:spacing w:after="0" w:line="15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9"/>
          <w:szCs w:val="19"/>
          <w:color w:val="auto"/>
        </w:rPr>
        <w:t xml:space="preserve">Pursuant to this Performance Award Agreement (the “Award Agreement”), </w:t>
      </w:r>
      <w:r>
        <w:rPr>
          <w:rFonts w:ascii="Arial" w:cs="Arial" w:eastAsia="Arial" w:hAnsi="Arial"/>
          <w:sz w:val="19"/>
          <w:szCs w:val="19"/>
          <w:b w:val="1"/>
          <w:bCs w:val="1"/>
          <w:color w:val="auto"/>
        </w:rPr>
        <w:t>CenterPoint Energy, Inc.</w:t>
      </w:r>
      <w:r>
        <w:rPr>
          <w:rFonts w:ascii="Arial" w:cs="Arial" w:eastAsia="Arial" w:hAnsi="Arial"/>
          <w:sz w:val="19"/>
          <w:szCs w:val="19"/>
          <w:color w:val="auto"/>
        </w:rPr>
        <w:t xml:space="preserve"> (the “Company”) hereby grants to &lt;first_name&gt; &lt;last_name&gt;, an employee of the Company, this Performance Award (the “Award”) covering the target number of shares, &lt;shares_awarded&gt;, of Common Stock (the “Target Shares”) pursuant to the </w:t>
      </w:r>
      <w:r>
        <w:rPr>
          <w:rFonts w:ascii="Arial" w:cs="Arial" w:eastAsia="Arial" w:hAnsi="Arial"/>
          <w:sz w:val="19"/>
          <w:szCs w:val="19"/>
          <w:b w:val="1"/>
          <w:bCs w:val="1"/>
          <w:color w:val="auto"/>
        </w:rPr>
        <w:t>CenterPoint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Energy, Inc. 2022 Long Term Incentive Plan </w:t>
      </w:r>
      <w:r>
        <w:rPr>
          <w:rFonts w:ascii="Arial" w:cs="Arial" w:eastAsia="Arial" w:hAnsi="Arial"/>
          <w:sz w:val="19"/>
          <w:szCs w:val="19"/>
          <w:color w:val="auto"/>
        </w:rPr>
        <w:t>(the “Plan”). The number of Target Shares shall be subject to adjustment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14 of the Plan, conditioned upon the Company’s achievement of the Performance Goals over the course of the 20XX – 20XX Performance Cycle, and subject to the following terms and conditions:</w:t>
      </w:r>
    </w:p>
    <w:p>
      <w:pPr>
        <w:spacing w:after="0" w:line="146" w:lineRule="exact"/>
        <w:rPr>
          <w:sz w:val="20"/>
          <w:szCs w:val="20"/>
          <w:color w:val="auto"/>
        </w:rPr>
      </w:pPr>
    </w:p>
    <w:p>
      <w:pPr>
        <w:jc w:val="both"/>
        <w:ind w:firstLine="1304"/>
        <w:spacing w:after="0" w:line="225" w:lineRule="auto"/>
        <w:tabs>
          <w:tab w:leader="none" w:pos="1944"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Relationship to the Plan. </w:t>
      </w:r>
      <w:r>
        <w:rPr>
          <w:rFonts w:ascii="Arial" w:cs="Arial" w:eastAsia="Arial" w:hAnsi="Arial"/>
          <w:sz w:val="21"/>
          <w:szCs w:val="21"/>
          <w:color w:val="auto"/>
        </w:rPr>
        <w:t>The Award is subject to all of the terms, conditions and provisions of the Plan in</w:t>
      </w:r>
      <w:r>
        <w:rPr>
          <w:rFonts w:ascii="Arial" w:cs="Arial" w:eastAsia="Arial" w:hAnsi="Arial"/>
          <w:sz w:val="21"/>
          <w:szCs w:val="21"/>
          <w:b w:val="1"/>
          <w:bCs w:val="1"/>
          <w:color w:val="auto"/>
        </w:rPr>
        <w:t xml:space="preserve"> </w:t>
      </w:r>
      <w:r>
        <w:rPr>
          <w:rFonts w:ascii="Arial" w:cs="Arial" w:eastAsia="Arial" w:hAnsi="Arial"/>
          <w:sz w:val="21"/>
          <w:szCs w:val="21"/>
          <w:color w:val="auto"/>
        </w:rPr>
        <w:t>effect on the date hereof and administrative interpretations thereunder, if any, adopted by the Committee.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w:t>
      </w:r>
    </w:p>
    <w:p>
      <w:pPr>
        <w:spacing w:after="0" w:line="153" w:lineRule="exact"/>
        <w:rPr>
          <w:rFonts w:ascii="Arial" w:cs="Arial" w:eastAsia="Arial" w:hAnsi="Arial"/>
          <w:sz w:val="21"/>
          <w:szCs w:val="21"/>
          <w:b w:val="1"/>
          <w:bCs w:val="1"/>
          <w:color w:val="auto"/>
        </w:rPr>
      </w:pPr>
    </w:p>
    <w:p>
      <w:pPr>
        <w:ind w:right="20" w:firstLine="1304"/>
        <w:spacing w:after="0" w:line="235" w:lineRule="auto"/>
        <w:tabs>
          <w:tab w:leader="none" w:pos="1944"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Except as defined herein, capitalized terms shall have the same meanings ascribed to them</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For purposes of this Award Agreement:</w:t>
      </w:r>
    </w:p>
    <w:p>
      <w:pPr>
        <w:spacing w:after="0" w:line="153" w:lineRule="exact"/>
        <w:rPr>
          <w:sz w:val="20"/>
          <w:szCs w:val="20"/>
          <w:color w:val="auto"/>
        </w:rPr>
      </w:pPr>
    </w:p>
    <w:p>
      <w:pPr>
        <w:jc w:val="both"/>
        <w:ind w:left="660" w:firstLine="648"/>
        <w:spacing w:after="0" w:line="225" w:lineRule="auto"/>
        <w:rPr>
          <w:sz w:val="20"/>
          <w:szCs w:val="20"/>
          <w:color w:val="auto"/>
        </w:rPr>
      </w:pPr>
      <w:r>
        <w:rPr>
          <w:rFonts w:ascii="Arial" w:cs="Arial" w:eastAsia="Arial" w:hAnsi="Arial"/>
          <w:sz w:val="22"/>
          <w:szCs w:val="22"/>
          <w:b w:val="1"/>
          <w:bCs w:val="1"/>
          <w:color w:val="auto"/>
        </w:rPr>
        <w:t xml:space="preserve">“Achievement Percentage” </w:t>
      </w:r>
      <w:r>
        <w:rPr>
          <w:rFonts w:ascii="Arial" w:cs="Arial" w:eastAsia="Arial" w:hAnsi="Arial"/>
          <w:sz w:val="22"/>
          <w:szCs w:val="22"/>
          <w:color w:val="auto"/>
        </w:rPr>
        <w:t>means the percentage of achievement determined by the Committee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Cycle in accordance with Section 4 that reflects the extent to which the Company achieved the Performance Goals during the Performance Cycle.</w:t>
      </w:r>
    </w:p>
    <w:p>
      <w:pPr>
        <w:spacing w:after="0" w:line="153"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the Participant's (a) gross negligence in the performance of his or her duties, (b) intentional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“Change in Control Closing Date” </w:t>
      </w:r>
      <w:r>
        <w:rPr>
          <w:rFonts w:ascii="Arial" w:cs="Arial" w:eastAsia="Arial" w:hAnsi="Arial"/>
          <w:sz w:val="19"/>
          <w:szCs w:val="19"/>
          <w:color w:val="auto"/>
        </w:rPr>
        <w:t>means the date a Change in Control is consummated during the Performance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Cycle.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77" w:lineRule="exact"/>
        <w:rPr>
          <w:sz w:val="20"/>
          <w:szCs w:val="20"/>
          <w:color w:val="auto"/>
        </w:rPr>
      </w:pPr>
    </w:p>
    <w:p>
      <w:pPr>
        <w:ind w:left="1300" w:firstLine="652"/>
        <w:spacing w:after="0" w:line="247" w:lineRule="auto"/>
        <w:tabs>
          <w:tab w:leader="none" w:pos="2593" w:val="left"/>
        </w:tabs>
        <w:numPr>
          <w:ilvl w:val="0"/>
          <w:numId w:val="3"/>
        </w:numPr>
        <w:rPr>
          <w:rFonts w:ascii="Arial" w:cs="Arial" w:eastAsia="Arial" w:hAnsi="Arial"/>
          <w:sz w:val="21"/>
          <w:szCs w:val="21"/>
          <w:color w:val="auto"/>
        </w:rPr>
      </w:pPr>
      <w:r>
        <w:rPr>
          <w:rFonts w:ascii="Arial" w:cs="Arial" w:eastAsia="Arial" w:hAnsi="Arial"/>
          <w:sz w:val="21"/>
          <w:szCs w:val="21"/>
          <w:color w:val="auto"/>
        </w:rPr>
        <w:t>If the Change in Control is a Section 409A Change in Control, then the Change in Control Payment Date shall be not later than the 70th day after the Change in Control Closing Date; and</w:t>
      </w:r>
    </w:p>
    <w:p>
      <w:pPr>
        <w:spacing w:after="0" w:line="150" w:lineRule="exact"/>
        <w:rPr>
          <w:rFonts w:ascii="Arial" w:cs="Arial" w:eastAsia="Arial" w:hAnsi="Arial"/>
          <w:sz w:val="21"/>
          <w:szCs w:val="21"/>
          <w:color w:val="auto"/>
        </w:rPr>
      </w:pPr>
    </w:p>
    <w:p>
      <w:pPr>
        <w:jc w:val="both"/>
        <w:ind w:left="1300" w:firstLine="652"/>
        <w:spacing w:after="0" w:line="268" w:lineRule="auto"/>
        <w:tabs>
          <w:tab w:leader="none" w:pos="2591" w:val="left"/>
        </w:tabs>
        <w:numPr>
          <w:ilvl w:val="0"/>
          <w:numId w:val="3"/>
        </w:numPr>
        <w:rPr>
          <w:rFonts w:ascii="Arial" w:cs="Arial" w:eastAsia="Arial" w:hAnsi="Arial"/>
          <w:sz w:val="19"/>
          <w:szCs w:val="19"/>
          <w:color w:val="auto"/>
        </w:rPr>
      </w:pPr>
      <w:r>
        <w:rPr>
          <w:rFonts w:ascii="Arial" w:cs="Arial" w:eastAsia="Arial" w:hAnsi="Arial"/>
          <w:sz w:val="19"/>
          <w:szCs w:val="19"/>
          <w:color w:val="auto"/>
        </w:rPr>
        <w:t>If the Change in Control is a Non-Section 409A Change in Control, then the Change in Control Payment Date shall be a date following the last day of the Performance Cycle but no later than March 15th of the calendar year following the calendar year in which occurs the last day of the Performance</w:t>
      </w:r>
    </w:p>
    <w:p>
      <w:pPr>
        <w:sectPr>
          <w:pgSz w:w="11900" w:h="16838" w:orient="portrait"/>
          <w:cols w:equalWidth="0" w:num="1">
            <w:col w:w="11240"/>
          </w:cols>
          <w:pgMar w:left="320" w:top="1233" w:right="339" w:bottom="1440" w:gutter="0" w:footer="0" w:header="0"/>
        </w:sectPr>
      </w:pPr>
    </w:p>
    <w:bookmarkStart w:id="5" w:name="page6"/>
    <w:bookmarkEnd w:id="5"/>
    <w:p>
      <w:pPr>
        <w:jc w:val="both"/>
        <w:ind w:left="1140"/>
        <w:spacing w:after="0" w:line="234" w:lineRule="auto"/>
        <w:rPr>
          <w:sz w:val="20"/>
          <w:szCs w:val="20"/>
          <w:color w:val="auto"/>
        </w:rPr>
      </w:pPr>
      <w:r>
        <w:rPr>
          <w:rFonts w:ascii="Arial" w:cs="Arial" w:eastAsia="Arial" w:hAnsi="Arial"/>
          <w:sz w:val="21"/>
          <w:szCs w:val="21"/>
          <w:color w:val="auto"/>
        </w:rPr>
        <w:t>Cycle; provided, however, in the case of the Participant’s death or Separation from Service after the Change in Control but prior to such date, all shares not previously paid shall be paid not later than the 70th day after the Participant’s Separation from Service date except as otherwise provided in Section 7(c).</w:t>
      </w:r>
    </w:p>
    <w:p>
      <w:pPr>
        <w:spacing w:after="0" w:line="152" w:lineRule="exact"/>
        <w:rPr>
          <w:sz w:val="20"/>
          <w:szCs w:val="20"/>
          <w:color w:val="auto"/>
        </w:rPr>
      </w:pPr>
    </w:p>
    <w:p>
      <w:pPr>
        <w:ind w:left="500" w:firstLine="648"/>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440" w:hanging="648"/>
        <w:spacing w:after="0"/>
        <w:tabs>
          <w:tab w:leader="none" w:pos="2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3" w:lineRule="exact"/>
        <w:rPr>
          <w:sz w:val="20"/>
          <w:szCs w:val="20"/>
          <w:color w:val="auto"/>
        </w:rPr>
      </w:pPr>
    </w:p>
    <w:p>
      <w:pPr>
        <w:ind w:left="500" w:firstLine="648"/>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eligible for and in receipt of benefits under the Company’s long-term</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plan.</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140" w:firstLine="652"/>
        <w:spacing w:after="0" w:line="223" w:lineRule="auto"/>
        <w:tabs>
          <w:tab w:leader="none" w:pos="2433" w:val="left"/>
        </w:tabs>
        <w:numPr>
          <w:ilvl w:val="0"/>
          <w:numId w:val="5"/>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140" w:right="20" w:firstLine="652"/>
        <w:spacing w:after="0" w:line="232" w:lineRule="auto"/>
        <w:tabs>
          <w:tab w:leader="none" w:pos="2431" w:val="left"/>
        </w:tabs>
        <w:numPr>
          <w:ilvl w:val="0"/>
          <w:numId w:val="5"/>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140" w:right="20" w:firstLine="652"/>
        <w:spacing w:after="0" w:line="232" w:lineRule="auto"/>
        <w:tabs>
          <w:tab w:leader="none" w:pos="2433" w:val="left"/>
        </w:tabs>
        <w:numPr>
          <w:ilvl w:val="0"/>
          <w:numId w:val="5"/>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140" w:firstLine="652"/>
        <w:spacing w:after="0" w:line="214" w:lineRule="auto"/>
        <w:tabs>
          <w:tab w:leader="none" w:pos="2431" w:val="left"/>
        </w:tabs>
        <w:numPr>
          <w:ilvl w:val="0"/>
          <w:numId w:val="5"/>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(d);</w:t>
      </w:r>
    </w:p>
    <w:p>
      <w:pPr>
        <w:spacing w:after="0" w:line="158" w:lineRule="exact"/>
        <w:rPr>
          <w:rFonts w:ascii="Arial" w:cs="Arial" w:eastAsia="Arial" w:hAnsi="Arial"/>
          <w:sz w:val="22"/>
          <w:szCs w:val="22"/>
          <w:color w:val="auto"/>
        </w:rPr>
      </w:pPr>
    </w:p>
    <w:p>
      <w:pPr>
        <w:jc w:val="both"/>
        <w:ind w:left="1140" w:firstLine="652"/>
        <w:spacing w:after="0" w:line="218" w:lineRule="auto"/>
        <w:tabs>
          <w:tab w:leader="none" w:pos="2433" w:val="left"/>
        </w:tabs>
        <w:numPr>
          <w:ilvl w:val="0"/>
          <w:numId w:val="5"/>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ind w:left="1140" w:firstLine="652"/>
        <w:spacing w:after="0" w:line="232" w:lineRule="auto"/>
        <w:tabs>
          <w:tab w:leader="none" w:pos="2436" w:val="left"/>
        </w:tabs>
        <w:numPr>
          <w:ilvl w:val="0"/>
          <w:numId w:val="5"/>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480" w:top="1252" w:right="339" w:bottom="1440" w:gutter="0" w:footer="0" w:header="0"/>
        </w:sectPr>
      </w:pPr>
    </w:p>
    <w:bookmarkStart w:id="6" w:name="page7"/>
    <w:bookmarkEnd w:id="6"/>
    <w:p>
      <w:pPr>
        <w:ind w:left="1300"/>
        <w:spacing w:after="0"/>
        <w:rPr>
          <w:sz w:val="20"/>
          <w:szCs w:val="20"/>
          <w:color w:val="auto"/>
        </w:rPr>
      </w:pPr>
      <w:r>
        <w:rPr>
          <w:rFonts w:ascii="Arial" w:cs="Arial" w:eastAsia="Arial" w:hAnsi="Arial"/>
          <w:sz w:val="19"/>
          <w:szCs w:val="19"/>
          <w:color w:val="auto"/>
        </w:rPr>
        <w:t>the Participant was principally employed immediately prior to the date on which a Change in Control occurs; or</w:t>
      </w:r>
    </w:p>
    <w:p>
      <w:pPr>
        <w:spacing w:after="0" w:line="214" w:lineRule="exact"/>
        <w:rPr>
          <w:sz w:val="20"/>
          <w:szCs w:val="20"/>
          <w:color w:val="auto"/>
        </w:rPr>
      </w:pPr>
    </w:p>
    <w:p>
      <w:pPr>
        <w:jc w:val="both"/>
        <w:ind w:left="1300" w:firstLine="652"/>
        <w:spacing w:after="0" w:line="223" w:lineRule="auto"/>
        <w:tabs>
          <w:tab w:leader="none" w:pos="2591" w:val="left"/>
        </w:tabs>
        <w:numPr>
          <w:ilvl w:val="0"/>
          <w:numId w:val="6"/>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jc w:val="both"/>
        <w:ind w:left="660" w:right="20" w:firstLine="648"/>
        <w:spacing w:after="0" w:line="235" w:lineRule="auto"/>
        <w:rPr>
          <w:sz w:val="20"/>
          <w:szCs w:val="20"/>
          <w:color w:val="auto"/>
        </w:rPr>
      </w:pPr>
      <w:r>
        <w:rPr>
          <w:rFonts w:ascii="Arial" w:cs="Arial" w:eastAsia="Arial" w:hAnsi="Arial"/>
          <w:sz w:val="22"/>
          <w:szCs w:val="22"/>
          <w:b w:val="1"/>
          <w:bCs w:val="1"/>
          <w:color w:val="auto"/>
        </w:rPr>
        <w:t xml:space="preserve">“Non-Section 409A Change in Control” </w:t>
      </w:r>
      <w:r>
        <w:rPr>
          <w:rFonts w:ascii="Arial" w:cs="Arial" w:eastAsia="Arial" w:hAnsi="Arial"/>
          <w:sz w:val="22"/>
          <w:szCs w:val="22"/>
          <w:color w:val="auto"/>
        </w:rPr>
        <w:t>means a Change in Control that is not a Section 409A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“Performance Cycle” </w:t>
      </w:r>
      <w:r>
        <w:rPr>
          <w:rFonts w:ascii="Arial" w:cs="Arial" w:eastAsia="Arial" w:hAnsi="Arial"/>
          <w:sz w:val="19"/>
          <w:szCs w:val="19"/>
          <w:color w:val="auto"/>
        </w:rPr>
        <w:t>means the period beginning on January 1, 20XX and ending on December 31, 20XX.</w:t>
      </w:r>
    </w:p>
    <w:p>
      <w:pPr>
        <w:spacing w:after="0" w:line="214" w:lineRule="exact"/>
        <w:rPr>
          <w:sz w:val="20"/>
          <w:szCs w:val="20"/>
          <w:color w:val="auto"/>
        </w:rPr>
      </w:pPr>
    </w:p>
    <w:p>
      <w:pPr>
        <w:jc w:val="both"/>
        <w:ind w:left="660" w:firstLine="648"/>
        <w:spacing w:after="0" w:line="225" w:lineRule="auto"/>
        <w:rPr>
          <w:sz w:val="20"/>
          <w:szCs w:val="20"/>
          <w:color w:val="auto"/>
        </w:rPr>
      </w:pPr>
      <w:r>
        <w:rPr>
          <w:rFonts w:ascii="Arial" w:cs="Arial" w:eastAsia="Arial" w:hAnsi="Arial"/>
          <w:sz w:val="22"/>
          <w:szCs w:val="22"/>
          <w:b w:val="1"/>
          <w:bCs w:val="1"/>
          <w:color w:val="auto"/>
        </w:rPr>
        <w:t xml:space="preserve">“Performance Goal” </w:t>
      </w:r>
      <w:r>
        <w:rPr>
          <w:rFonts w:ascii="Arial" w:cs="Arial" w:eastAsia="Arial" w:hAnsi="Arial"/>
          <w:sz w:val="22"/>
          <w:szCs w:val="22"/>
          <w:color w:val="auto"/>
        </w:rPr>
        <w:t>means the standards established by the Committee for the Performance Cycle to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in whole or in part the number of Vested Shares pursuant to Section 4, which are specified in a separate document provided with this Award Agreement and made a part hereof for all purposes.</w:t>
      </w:r>
    </w:p>
    <w:p>
      <w:pPr>
        <w:spacing w:after="0" w:line="153"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means a Separation from Service with at least three years of Employment;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Separation from Service is not by the Company for Cause or due to Disability.</w:t>
      </w:r>
    </w:p>
    <w:p>
      <w:pPr>
        <w:spacing w:after="0" w:line="45"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51" w:lineRule="exact"/>
        <w:rPr>
          <w:sz w:val="20"/>
          <w:szCs w:val="20"/>
          <w:color w:val="auto"/>
        </w:rPr>
      </w:pPr>
    </w:p>
    <w:p>
      <w:pPr>
        <w:ind w:left="1300" w:firstLine="652"/>
        <w:spacing w:after="0" w:line="232" w:lineRule="auto"/>
        <w:tabs>
          <w:tab w:leader="none" w:pos="2593"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83" w:lineRule="exact"/>
        <w:rPr>
          <w:sz w:val="20"/>
          <w:szCs w:val="20"/>
          <w:color w:val="auto"/>
        </w:rPr>
      </w:pPr>
    </w:p>
    <w:p>
      <w:pPr>
        <w:ind w:left="660" w:right="20" w:firstLine="648"/>
        <w:spacing w:after="0" w:line="296"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1" w:lineRule="exact"/>
        <w:rPr>
          <w:sz w:val="20"/>
          <w:szCs w:val="20"/>
          <w:color w:val="auto"/>
        </w:rPr>
      </w:pPr>
    </w:p>
    <w:p>
      <w:pPr>
        <w:ind w:left="660" w:right="20" w:firstLine="648"/>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52" w:right="339" w:bottom="1440" w:gutter="0" w:footer="0" w:header="0"/>
        </w:sectPr>
      </w:pPr>
    </w:p>
    <w:bookmarkStart w:id="7" w:name="page8"/>
    <w:bookmarkEnd w:id="7"/>
    <w:p>
      <w:pPr>
        <w:jc w:val="both"/>
        <w:ind w:left="500" w:firstLine="648"/>
        <w:spacing w:after="0" w:line="235" w:lineRule="auto"/>
        <w:rPr>
          <w:sz w:val="20"/>
          <w:szCs w:val="20"/>
          <w:color w:val="auto"/>
        </w:rPr>
      </w:pPr>
      <w:r>
        <w:rPr>
          <w:rFonts w:ascii="Arial" w:cs="Arial" w:eastAsia="Arial" w:hAnsi="Arial"/>
          <w:sz w:val="22"/>
          <w:szCs w:val="22"/>
          <w:b w:val="1"/>
          <w:bCs w:val="1"/>
          <w:color w:val="auto"/>
        </w:rPr>
        <w:t xml:space="preserve">“Target Shares” </w:t>
      </w:r>
      <w:r>
        <w:rPr>
          <w:rFonts w:ascii="Arial" w:cs="Arial" w:eastAsia="Arial" w:hAnsi="Arial"/>
          <w:sz w:val="22"/>
          <w:szCs w:val="22"/>
          <w:color w:val="auto"/>
        </w:rPr>
        <w:t>means the actual number of shares originally granted to the Participant as specified in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53" w:lineRule="exact"/>
        <w:rPr>
          <w:sz w:val="20"/>
          <w:szCs w:val="20"/>
          <w:color w:val="auto"/>
        </w:rPr>
      </w:pPr>
    </w:p>
    <w:p>
      <w:pPr>
        <w:jc w:val="both"/>
        <w:ind w:left="500" w:firstLine="648"/>
        <w:spacing w:after="0" w:line="271" w:lineRule="auto"/>
        <w:rPr>
          <w:sz w:val="20"/>
          <w:szCs w:val="20"/>
          <w:color w:val="auto"/>
        </w:rPr>
      </w:pPr>
      <w:r>
        <w:rPr>
          <w:rFonts w:ascii="Arial" w:cs="Arial" w:eastAsia="Arial" w:hAnsi="Arial"/>
          <w:sz w:val="19"/>
          <w:szCs w:val="19"/>
          <w:b w:val="1"/>
          <w:bCs w:val="1"/>
          <w:color w:val="auto"/>
        </w:rPr>
        <w:t xml:space="preserve">“Vested Shares” </w:t>
      </w:r>
      <w:r>
        <w:rPr>
          <w:rFonts w:ascii="Arial" w:cs="Arial" w:eastAsia="Arial" w:hAnsi="Arial"/>
          <w:sz w:val="19"/>
          <w:szCs w:val="19"/>
          <w:color w:val="auto"/>
        </w:rPr>
        <w:t>means the shares of Common Stock actually distributable to the Participant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satisfaction of the vesting provisions of Section 5 and, if applicable, the determination by the Committee of the extent to which the Company has achieved the Performance Goals for the Performance Cycle pursuant to Section 4.</w:t>
      </w:r>
    </w:p>
    <w:p>
      <w:pPr>
        <w:spacing w:after="0" w:line="124" w:lineRule="exact"/>
        <w:rPr>
          <w:sz w:val="20"/>
          <w:szCs w:val="20"/>
          <w:color w:val="auto"/>
        </w:rPr>
      </w:pPr>
    </w:p>
    <w:p>
      <w:pPr>
        <w:jc w:val="both"/>
        <w:ind w:left="-160" w:firstLine="1304"/>
        <w:spacing w:after="0" w:line="248" w:lineRule="auto"/>
        <w:tabs>
          <w:tab w:leader="none" w:pos="1784"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of Award Account. </w:t>
      </w:r>
      <w:r>
        <w:rPr>
          <w:rFonts w:ascii="Arial" w:cs="Arial" w:eastAsia="Arial" w:hAnsi="Arial"/>
          <w:sz w:val="19"/>
          <w:szCs w:val="19"/>
          <w:color w:val="auto"/>
        </w:rPr>
        <w:t>The grant of Target Shares pursuant to this Award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implemented by a credit to a bookkeeping account maintained by the Company evidencing the Participant’s unfunded and unsecured right to receive shares of Common Stock of the Company, which right shall be subject to the terms, conditions and restrictions set forth in the Plan and to the further terms, conditions and restrictions set forth in this Award Agreement. Except as otherwise provided in this Award Agreement, the Target Shares of Common Stock credited to the Participant’s bookkeeping account may not be sold, assigned, transferred, pledged or otherwise encumbered until the Participant has been registered as a holder of shares of Common Stock on the records of the Company as provided in Section 6 or 7 of this Award Agreement.</w:t>
      </w:r>
    </w:p>
    <w:p>
      <w:pPr>
        <w:spacing w:after="0" w:line="147" w:lineRule="exact"/>
        <w:rPr>
          <w:rFonts w:ascii="Arial" w:cs="Arial" w:eastAsia="Arial" w:hAnsi="Arial"/>
          <w:sz w:val="19"/>
          <w:szCs w:val="19"/>
          <w:b w:val="1"/>
          <w:bCs w:val="1"/>
          <w:color w:val="auto"/>
        </w:rPr>
      </w:pPr>
    </w:p>
    <w:p>
      <w:pPr>
        <w:ind w:left="1800" w:hanging="656"/>
        <w:spacing w:after="0"/>
        <w:tabs>
          <w:tab w:leader="none" w:pos="18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Award Opportunity.</w:t>
      </w:r>
    </w:p>
    <w:p>
      <w:pPr>
        <w:spacing w:after="0" w:line="185" w:lineRule="exact"/>
        <w:rPr>
          <w:sz w:val="20"/>
          <w:szCs w:val="20"/>
          <w:color w:val="auto"/>
        </w:rPr>
      </w:pPr>
    </w:p>
    <w:p>
      <w:pPr>
        <w:jc w:val="both"/>
        <w:ind w:left="500" w:firstLine="644"/>
        <w:spacing w:after="0" w:line="218" w:lineRule="auto"/>
        <w:tabs>
          <w:tab w:leader="none" w:pos="1793"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otherwise provided in Section 5(b)(ii), Section 5(b)(iii) or Section 6, the Participant’s Vested Shares shall be the product of the number of Target Shares and the Achievement Percentage that is based upon the Committee’s determination of whether and to what extent the Performance Goals have been achieved during the Performance Cycle.</w:t>
      </w:r>
    </w:p>
    <w:p>
      <w:pPr>
        <w:spacing w:after="0" w:line="160" w:lineRule="exact"/>
        <w:rPr>
          <w:rFonts w:ascii="Arial" w:cs="Arial" w:eastAsia="Arial" w:hAnsi="Arial"/>
          <w:sz w:val="22"/>
          <w:szCs w:val="22"/>
          <w:color w:val="auto"/>
        </w:rPr>
      </w:pPr>
    </w:p>
    <w:p>
      <w:pPr>
        <w:jc w:val="both"/>
        <w:ind w:left="500" w:firstLine="644"/>
        <w:spacing w:after="0" w:line="249" w:lineRule="auto"/>
        <w:tabs>
          <w:tab w:leader="none" w:pos="1791" w:val="left"/>
        </w:tabs>
        <w:numPr>
          <w:ilvl w:val="0"/>
          <w:numId w:val="9"/>
        </w:numPr>
        <w:rPr>
          <w:rFonts w:ascii="Arial" w:cs="Arial" w:eastAsia="Arial" w:hAnsi="Arial"/>
          <w:sz w:val="19"/>
          <w:szCs w:val="19"/>
          <w:color w:val="auto"/>
        </w:rPr>
      </w:pPr>
      <w:r>
        <w:rPr>
          <w:rFonts w:ascii="Arial" w:cs="Arial" w:eastAsia="Arial" w:hAnsi="Arial"/>
          <w:sz w:val="19"/>
          <w:szCs w:val="19"/>
          <w:color w:val="auto"/>
        </w:rPr>
        <w:t>No later than 60 days after the close of the Performance Cycle, the Committee shall determine the extent to which each Performance Goal has been achieved. If the Company has performed at or above the threshold level of achievement for a Performance Goal, the Achievement Percentage shall be between X% and X%. In no event shall the Achievement Percentage exceed X%. Upon completing its determination of the level at which the Performance Goals have been achieved, the Committee shall notify the Participant, in the form and manner as determined by the Committee, of the number of Vested Shares that will be issued to the Participant pursuant to Section 5.</w:t>
      </w:r>
    </w:p>
    <w:p>
      <w:pPr>
        <w:spacing w:after="0" w:line="146" w:lineRule="exact"/>
        <w:rPr>
          <w:sz w:val="20"/>
          <w:szCs w:val="20"/>
          <w:color w:val="auto"/>
        </w:rPr>
      </w:pPr>
    </w:p>
    <w:p>
      <w:pPr>
        <w:ind w:left="1800" w:hanging="656"/>
        <w:spacing w:after="0"/>
        <w:tabs>
          <w:tab w:leader="none" w:pos="18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Shares.</w:t>
      </w:r>
    </w:p>
    <w:p>
      <w:pPr>
        <w:spacing w:after="0" w:line="185" w:lineRule="exact"/>
        <w:rPr>
          <w:sz w:val="20"/>
          <w:szCs w:val="20"/>
          <w:color w:val="auto"/>
        </w:rPr>
      </w:pPr>
    </w:p>
    <w:p>
      <w:pPr>
        <w:jc w:val="both"/>
        <w:ind w:left="500" w:firstLine="644"/>
        <w:spacing w:after="0" w:line="212" w:lineRule="auto"/>
        <w:tabs>
          <w:tab w:leader="none" w:pos="17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Unless earlier forfeited in accordance with Section 5(b)(i) or unless earlier vested in accordance with Section 5(b)(ii), Section 6(b), Section 6(c) or Section 6(d), the Participant’s right to receive shares pursuant to this Award Agreement, if any, shall vest on the last day of the Performance Cycle (with the number of shares, if any, based on the Committee’s determination that each Performance Goal has been met (as provided in Section 4)). As soon as administratively practicable, but in no event later than 70 days, after the close of the Performance Cycle, the Committee shall notify the Participant as required by Section 4 of the level at which the Performance Goals established for the Performance Cycle have been achieved.</w:t>
      </w:r>
    </w:p>
    <w:p>
      <w:pPr>
        <w:spacing w:after="0" w:line="163" w:lineRule="exact"/>
        <w:rPr>
          <w:rFonts w:ascii="Arial" w:cs="Arial" w:eastAsia="Arial" w:hAnsi="Arial"/>
          <w:sz w:val="22"/>
          <w:szCs w:val="22"/>
          <w:color w:val="auto"/>
        </w:rPr>
      </w:pPr>
    </w:p>
    <w:p>
      <w:pPr>
        <w:jc w:val="both"/>
        <w:ind w:left="500" w:firstLine="644"/>
        <w:spacing w:after="0" w:line="218" w:lineRule="auto"/>
        <w:tabs>
          <w:tab w:leader="none" w:pos="17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the Participant’s Separation from Service date occurs prior to the close of the Performance Cycle and the occurrence of a vesting event described in Section 6(b), 6(c), or 6(d) (in connection with a Change in Control or a Sale of a Subsidiary), then the applicable of the following clauses shall apply with respect to the Target Shares subject to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480" w:top="1246" w:right="339" w:bottom="1440" w:gutter="0" w:footer="0" w:header="0"/>
        </w:sectPr>
      </w:pPr>
    </w:p>
    <w:bookmarkStart w:id="8" w:name="page9"/>
    <w:bookmarkEnd w:id="8"/>
    <w:p>
      <w:pPr>
        <w:jc w:val="both"/>
        <w:ind w:left="1140" w:firstLine="652"/>
        <w:spacing w:after="0" w:line="229" w:lineRule="auto"/>
        <w:tabs>
          <w:tab w:leader="none" w:pos="2424"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Forfeiture of Entire Award</w:t>
      </w:r>
      <w:r>
        <w:rPr>
          <w:rFonts w:ascii="Arial" w:cs="Arial" w:eastAsia="Arial" w:hAnsi="Arial"/>
          <w:sz w:val="21"/>
          <w:szCs w:val="21"/>
          <w:color w:val="auto"/>
        </w:rPr>
        <w:t>. If the Participant’s Employment is terminated, such that the Participant has a Separation from Service, by the Company or any of its Subsidiaries or by the Participant for any reason other than due to death, Disability or Retirement, then the Participant’s right to receive any Target Shares shall be forfeited in its entirety as of the date of such Separation from Service.</w:t>
      </w:r>
    </w:p>
    <w:p>
      <w:pPr>
        <w:spacing w:after="0" w:line="158" w:lineRule="exact"/>
        <w:rPr>
          <w:rFonts w:ascii="Arial" w:cs="Arial" w:eastAsia="Arial" w:hAnsi="Arial"/>
          <w:sz w:val="21"/>
          <w:szCs w:val="21"/>
          <w:color w:val="auto"/>
        </w:rPr>
      </w:pPr>
    </w:p>
    <w:p>
      <w:pPr>
        <w:jc w:val="both"/>
        <w:ind w:left="1140" w:firstLine="652"/>
        <w:spacing w:after="0" w:line="218" w:lineRule="auto"/>
        <w:tabs>
          <w:tab w:leader="none" w:pos="2430"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the Participant’s Employment is terminated due to death or Disability, the Participant’s right to receive the Target Shares shall vest on the date of such Separation from Service. The Participant’s right to receive any additional shares pursuant to this Award Agreement shall be forfeited at such time.</w:t>
      </w:r>
    </w:p>
    <w:p>
      <w:pPr>
        <w:spacing w:after="0" w:line="160" w:lineRule="exact"/>
        <w:rPr>
          <w:rFonts w:ascii="Arial" w:cs="Arial" w:eastAsia="Arial" w:hAnsi="Arial"/>
          <w:sz w:val="22"/>
          <w:szCs w:val="22"/>
          <w:color w:val="auto"/>
        </w:rPr>
      </w:pPr>
    </w:p>
    <w:p>
      <w:pPr>
        <w:jc w:val="both"/>
        <w:ind w:left="1140" w:firstLine="652"/>
        <w:spacing w:after="0" w:line="243" w:lineRule="auto"/>
        <w:tabs>
          <w:tab w:leader="none" w:pos="2436"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Participant’s Employment is terminated due to Retirement, the Participant’s right to receive shares pursuant to this Award Agreement, if any, shall vest on the date the Committee determines that each Performance Goal has been met (as provided in Section 4) in a pro-rata amount determined by multiplying</w:t>
      </w:r>
    </w:p>
    <w:p>
      <w:pPr>
        <w:spacing w:after="0" w:line="2" w:lineRule="exact"/>
        <w:rPr>
          <w:rFonts w:ascii="Arial" w:cs="Arial" w:eastAsia="Arial" w:hAnsi="Arial"/>
          <w:sz w:val="19"/>
          <w:szCs w:val="19"/>
          <w:color w:val="auto"/>
        </w:rPr>
      </w:pPr>
    </w:p>
    <w:p>
      <w:pPr>
        <w:jc w:val="both"/>
        <w:ind w:left="1140" w:firstLine="4"/>
        <w:spacing w:after="0" w:line="214" w:lineRule="auto"/>
        <w:tabs>
          <w:tab w:leader="none" w:pos="1454"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number of shares awarded to the Participant based upon the Committee’s determination of achievement of Performance Goals as provided in Section 4, by (2) a fraction, the numerator of which is the number of days elapsed in the Performance Cycle as of the date of the Participant’s Separation from Service, and the denominator of which is the total number of days in the Performance Cycle.</w:t>
      </w:r>
    </w:p>
    <w:p>
      <w:pPr>
        <w:spacing w:after="0" w:line="159" w:lineRule="exact"/>
        <w:rPr>
          <w:rFonts w:ascii="Arial" w:cs="Arial" w:eastAsia="Arial" w:hAnsi="Arial"/>
          <w:sz w:val="22"/>
          <w:szCs w:val="22"/>
          <w:color w:val="auto"/>
        </w:rPr>
      </w:pPr>
    </w:p>
    <w:p>
      <w:pPr>
        <w:jc w:val="both"/>
        <w:ind w:left="1140" w:firstLine="652"/>
        <w:spacing w:after="0" w:line="252" w:lineRule="auto"/>
        <w:tabs>
          <w:tab w:leader="none" w:pos="2424"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Enhanced Retirement</w:t>
      </w:r>
      <w:r>
        <w:rPr>
          <w:rFonts w:ascii="Arial" w:cs="Arial" w:eastAsia="Arial" w:hAnsi="Arial"/>
          <w:sz w:val="19"/>
          <w:szCs w:val="19"/>
          <w:color w:val="auto"/>
        </w:rPr>
        <w:t>. If the Participant’s Employment is terminated due to Retirement and all of the following requirements are satisfied, the</w:t>
      </w:r>
      <w:r>
        <w:rPr>
          <w:rFonts w:ascii="Arial" w:cs="Arial" w:eastAsia="Arial" w:hAnsi="Arial"/>
          <w:sz w:val="18"/>
          <w:szCs w:val="18"/>
          <w:color w:val="auto"/>
        </w:rPr>
        <w:t>n</w:t>
      </w:r>
      <w:r>
        <w:rPr>
          <w:rFonts w:ascii="Arial" w:cs="Arial" w:eastAsia="Arial" w:hAnsi="Arial"/>
          <w:sz w:val="19"/>
          <w:szCs w:val="19"/>
          <w:color w:val="auto"/>
        </w:rPr>
        <w:t xml:space="preserve"> in lieu of the rights and benefits set forth in Section 5(b)(iii), on the date the Committee determines that each Performance Goal has been met (as provided in Section 4), the Participant shall vest in the right to receive the total number of Vested Shares awarded to the Participant based upon the Committee’s determination of achievement of Performance Goals as provided in Section 4:</w:t>
      </w:r>
    </w:p>
    <w:p>
      <w:pPr>
        <w:spacing w:after="0" w:line="148" w:lineRule="exact"/>
        <w:rPr>
          <w:rFonts w:ascii="Arial" w:cs="Arial" w:eastAsia="Arial" w:hAnsi="Arial"/>
          <w:sz w:val="19"/>
          <w:szCs w:val="19"/>
          <w:color w:val="auto"/>
        </w:rPr>
      </w:pPr>
    </w:p>
    <w:p>
      <w:pPr>
        <w:ind w:left="1800" w:firstLine="640"/>
        <w:spacing w:after="0" w:line="232" w:lineRule="auto"/>
        <w:tabs>
          <w:tab w:leader="none" w:pos="3091"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Participant’s Retirement occurs on or after the first anniversary of the beginning of the Performance Cycle;</w:t>
      </w:r>
    </w:p>
    <w:p>
      <w:pPr>
        <w:spacing w:after="0" w:line="158" w:lineRule="exact"/>
        <w:rPr>
          <w:rFonts w:ascii="Arial" w:cs="Arial" w:eastAsia="Arial" w:hAnsi="Arial"/>
          <w:sz w:val="22"/>
          <w:szCs w:val="22"/>
          <w:color w:val="auto"/>
        </w:rPr>
      </w:pPr>
    </w:p>
    <w:p>
      <w:pPr>
        <w:ind w:left="3080" w:hanging="640"/>
        <w:spacing w:after="0"/>
        <w:tabs>
          <w:tab w:leader="none" w:pos="3080"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Participant provides to the Company a transition plan;</w:t>
      </w:r>
    </w:p>
    <w:p>
      <w:pPr>
        <w:spacing w:after="0" w:line="179" w:lineRule="exact"/>
        <w:rPr>
          <w:rFonts w:ascii="Arial" w:cs="Arial" w:eastAsia="Arial" w:hAnsi="Arial"/>
          <w:sz w:val="22"/>
          <w:szCs w:val="22"/>
          <w:color w:val="auto"/>
        </w:rPr>
      </w:pPr>
    </w:p>
    <w:p>
      <w:pPr>
        <w:ind w:left="1800" w:right="20" w:firstLine="640"/>
        <w:spacing w:after="0" w:line="232" w:lineRule="auto"/>
        <w:tabs>
          <w:tab w:leader="none" w:pos="3091"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Participant provides reasonable advance written notice (as determined by the Committee) of the Participant’s Retirement to the Chief Human Resources Officer; and</w:t>
      </w:r>
    </w:p>
    <w:p>
      <w:pPr>
        <w:spacing w:after="0" w:line="158" w:lineRule="exact"/>
        <w:rPr>
          <w:rFonts w:ascii="Arial" w:cs="Arial" w:eastAsia="Arial" w:hAnsi="Arial"/>
          <w:sz w:val="22"/>
          <w:szCs w:val="22"/>
          <w:color w:val="auto"/>
        </w:rPr>
      </w:pPr>
    </w:p>
    <w:p>
      <w:pPr>
        <w:jc w:val="both"/>
        <w:ind w:left="1800" w:firstLine="640"/>
        <w:spacing w:after="0" w:line="223" w:lineRule="auto"/>
        <w:tabs>
          <w:tab w:leader="none" w:pos="3091"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Committee approves providing the benefits set forth in this Section 5(b)(iv) above, whose approval must occur prior to the Participant’s Separation from Service and is at the sole discretion of the Committee.</w:t>
      </w:r>
    </w:p>
    <w:p>
      <w:pPr>
        <w:spacing w:after="0" w:line="159" w:lineRule="exact"/>
        <w:rPr>
          <w:sz w:val="20"/>
          <w:szCs w:val="20"/>
          <w:color w:val="auto"/>
        </w:rPr>
      </w:pPr>
    </w:p>
    <w:p>
      <w:pPr>
        <w:ind w:left="500" w:firstLine="644"/>
        <w:spacing w:after="0" w:line="232" w:lineRule="auto"/>
        <w:tabs>
          <w:tab w:leader="none" w:pos="17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accordance with the provisions of this Section 5, the Vested Shares shall be distributed as provided in Section 7 hereof.</w:t>
      </w:r>
    </w:p>
    <w:p>
      <w:pPr>
        <w:spacing w:after="0" w:line="153" w:lineRule="exact"/>
        <w:rPr>
          <w:sz w:val="20"/>
          <w:szCs w:val="20"/>
          <w:color w:val="auto"/>
        </w:rPr>
      </w:pPr>
    </w:p>
    <w:p>
      <w:pPr>
        <w:ind w:left="1800" w:hanging="656"/>
        <w:spacing w:after="0"/>
        <w:tabs>
          <w:tab w:leader="none" w:pos="180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left="500" w:firstLine="644"/>
        <w:spacing w:after="0" w:line="268" w:lineRule="auto"/>
        <w:tabs>
          <w:tab w:leader="none" w:pos="1793"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480" w:top="1252" w:right="339" w:bottom="1440" w:gutter="0" w:footer="0" w:header="0"/>
        </w:sectPr>
      </w:pPr>
    </w:p>
    <w:bookmarkStart w:id="9" w:name="page10"/>
    <w:bookmarkEnd w:id="9"/>
    <w:p>
      <w:pPr>
        <w:ind w:left="500"/>
        <w:spacing w:after="0"/>
        <w:rPr>
          <w:sz w:val="20"/>
          <w:szCs w:val="20"/>
          <w:color w:val="auto"/>
        </w:rPr>
      </w:pPr>
      <w:r>
        <w:rPr>
          <w:rFonts w:ascii="Arial" w:cs="Arial" w:eastAsia="Arial" w:hAnsi="Arial"/>
          <w:sz w:val="21"/>
          <w:szCs w:val="21"/>
          <w:color w:val="auto"/>
        </w:rPr>
        <w:t>Award Agreement or provide a substantially equivalent award in substitution for the shares subject to this Award.</w:t>
      </w:r>
    </w:p>
    <w:p>
      <w:pPr>
        <w:spacing w:after="0" w:line="191" w:lineRule="exact"/>
        <w:rPr>
          <w:sz w:val="20"/>
          <w:szCs w:val="20"/>
          <w:color w:val="auto"/>
        </w:rPr>
      </w:pPr>
    </w:p>
    <w:p>
      <w:pPr>
        <w:jc w:val="both"/>
        <w:ind w:left="500" w:firstLine="644"/>
        <w:spacing w:after="0" w:line="241" w:lineRule="auto"/>
        <w:tabs>
          <w:tab w:leader="none" w:pos="1791"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Vesting Upon a Change in Control</w:t>
      </w:r>
      <w:r>
        <w:rPr>
          <w:rFonts w:ascii="Arial" w:cs="Arial" w:eastAsia="Arial" w:hAnsi="Arial"/>
          <w:sz w:val="20"/>
          <w:szCs w:val="20"/>
          <w:color w:val="auto"/>
        </w:rPr>
        <w:t xml:space="preserve">. </w:t>
      </w:r>
      <w:r>
        <w:rPr>
          <w:rFonts w:ascii="Arial" w:cs="Arial" w:eastAsia="Arial" w:hAnsi="Arial"/>
          <w:sz w:val="18"/>
          <w:szCs w:val="18"/>
          <w:color w:val="auto"/>
        </w:rPr>
        <w:t>Notwithstanding anything herein to the contrary and without regard to the</w:t>
      </w:r>
      <w:r>
        <w:rPr>
          <w:rFonts w:ascii="Arial" w:cs="Arial" w:eastAsia="Arial" w:hAnsi="Arial"/>
          <w:sz w:val="20"/>
          <w:szCs w:val="20"/>
          <w:color w:val="auto"/>
        </w:rPr>
        <w:t xml:space="preserve"> </w:t>
      </w:r>
      <w:r>
        <w:rPr>
          <w:rFonts w:ascii="Arial" w:cs="Arial" w:eastAsia="Arial" w:hAnsi="Arial"/>
          <w:sz w:val="18"/>
          <w:szCs w:val="18"/>
          <w:color w:val="auto"/>
        </w:rPr>
        <w:t xml:space="preserve">Performance Goals, if </w:t>
      </w:r>
      <w:r>
        <w:rPr>
          <w:rFonts w:ascii="Arial" w:cs="Arial" w:eastAsia="Arial" w:hAnsi="Arial"/>
          <w:sz w:val="19"/>
          <w:szCs w:val="19"/>
          <w:color w:val="auto"/>
        </w:rPr>
        <w:t>(i) there is a Change in Control during the Performance Cycle and prior to the Participant’s</w:t>
      </w:r>
      <w:r>
        <w:rPr>
          <w:rFonts w:ascii="Arial" w:cs="Arial" w:eastAsia="Arial" w:hAnsi="Arial"/>
          <w:sz w:val="18"/>
          <w:szCs w:val="18"/>
          <w:color w:val="auto"/>
        </w:rPr>
        <w:t xml:space="preserve"> </w:t>
      </w:r>
      <w:r>
        <w:rPr>
          <w:rFonts w:ascii="Arial" w:cs="Arial" w:eastAsia="Arial" w:hAnsi="Arial"/>
          <w:sz w:val="19"/>
          <w:szCs w:val="19"/>
          <w:color w:val="auto"/>
        </w:rPr>
        <w:t>Separation from Service due to death or Disability and (ii) the Acquiror does not assume or continue this Award or provide a substantially equivalent award in substitution for this Award pursuant to Section 6(a), then upon the Change in Control Closing Date, the Participant’s right to receive the Target Shares shall vest. Notwithstanding the foregoing, in the event the Change in Control occurs after the Participant has had a Separation from Service due to Retirement, unless the requirements set forth in Section 5(b)(iv)(1), (2), (3), and (4) are satisfied, the Target Shares such Participant shall receive under this Section 6(b) shall be pro-rated based on the number of days that elapsed in the Performance Cycle as of the date of the Participant’s Separation from Service over the total number of days in the Performance Cycle.</w:t>
      </w:r>
    </w:p>
    <w:p>
      <w:pPr>
        <w:spacing w:after="0" w:line="162" w:lineRule="exact"/>
        <w:rPr>
          <w:rFonts w:ascii="Arial" w:cs="Arial" w:eastAsia="Arial" w:hAnsi="Arial"/>
          <w:sz w:val="20"/>
          <w:szCs w:val="20"/>
          <w:color w:val="auto"/>
        </w:rPr>
      </w:pPr>
    </w:p>
    <w:p>
      <w:pPr>
        <w:jc w:val="both"/>
        <w:ind w:left="500" w:firstLine="644"/>
        <w:spacing w:after="0" w:line="268" w:lineRule="auto"/>
        <w:tabs>
          <w:tab w:leader="none" w:pos="1793"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Vesting Upon a Covered Termination</w:t>
      </w:r>
      <w:r>
        <w:rPr>
          <w:rFonts w:ascii="Arial" w:cs="Arial" w:eastAsia="Arial" w:hAnsi="Arial"/>
          <w:sz w:val="19"/>
          <w:szCs w:val="19"/>
          <w:color w:val="auto"/>
        </w:rPr>
        <w:t>. Notwithstanding anything herein to the contrary and without regard to the Performance Goals, if the Participant experiences a Covered Termination during the Performance Cycle, then, upon the date of the Covered Termination, the Participant's right to receive the Target Shares shall vest.</w:t>
      </w:r>
    </w:p>
    <w:p>
      <w:pPr>
        <w:spacing w:after="0" w:line="132" w:lineRule="exact"/>
        <w:rPr>
          <w:rFonts w:ascii="Arial" w:cs="Arial" w:eastAsia="Arial" w:hAnsi="Arial"/>
          <w:sz w:val="19"/>
          <w:szCs w:val="19"/>
          <w:color w:val="auto"/>
        </w:rPr>
      </w:pPr>
    </w:p>
    <w:p>
      <w:pPr>
        <w:jc w:val="both"/>
        <w:ind w:left="500" w:firstLine="644"/>
        <w:spacing w:after="0" w:line="221" w:lineRule="auto"/>
        <w:tabs>
          <w:tab w:leader="none" w:pos="179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Vesting Upon the Sale of a Subsidiary</w:t>
      </w:r>
      <w:r>
        <w:rPr>
          <w:rFonts w:ascii="Arial" w:cs="Arial" w:eastAsia="Arial" w:hAnsi="Arial"/>
          <w:sz w:val="21"/>
          <w:szCs w:val="21"/>
          <w:color w:val="auto"/>
        </w:rPr>
        <w:t>. Notwithstanding anything herein to the contrary and without regard to the Performance Goals, if (i) a Sale of a Subsidiary with respect to the Participant occurs during the Performance Cycle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Participant’s right to receive the Target Shares shall vest in the proportion of the number of days elapsed in the Performance Cycle as of the date of the Sale of a Subsidiary by the total number of days in the Performance Cycle. The Participant’s right to receive any additional shares pursuant to this Award Agreement shall be forfeited at such time.</w:t>
      </w:r>
    </w:p>
    <w:p>
      <w:pPr>
        <w:spacing w:after="0" w:line="165" w:lineRule="exact"/>
        <w:rPr>
          <w:rFonts w:ascii="Arial" w:cs="Arial" w:eastAsia="Arial" w:hAnsi="Arial"/>
          <w:sz w:val="21"/>
          <w:szCs w:val="21"/>
          <w:color w:val="auto"/>
        </w:rPr>
      </w:pPr>
    </w:p>
    <w:p>
      <w:pPr>
        <w:ind w:left="500" w:right="20" w:firstLine="644"/>
        <w:spacing w:after="0" w:line="298" w:lineRule="auto"/>
        <w:tabs>
          <w:tab w:leader="none" w:pos="1793"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Distributions Upon a Change in Control or Sale of a Subsidiary</w:t>
      </w:r>
      <w:r>
        <w:rPr>
          <w:rFonts w:ascii="Arial" w:cs="Arial" w:eastAsia="Arial" w:hAnsi="Arial"/>
          <w:sz w:val="19"/>
          <w:szCs w:val="19"/>
          <w:color w:val="auto"/>
        </w:rPr>
        <w:t>. If the Participant is entitled to a benefit pursuant to Section 6(b), 6(c), or 6(d) hereof, then this Award shall be settled by the distribution to the Participant of:</w:t>
      </w:r>
    </w:p>
    <w:p>
      <w:pPr>
        <w:spacing w:after="0" w:line="105" w:lineRule="exact"/>
        <w:rPr>
          <w:rFonts w:ascii="Arial" w:cs="Arial" w:eastAsia="Arial" w:hAnsi="Arial"/>
          <w:sz w:val="19"/>
          <w:szCs w:val="19"/>
          <w:color w:val="auto"/>
        </w:rPr>
      </w:pPr>
    </w:p>
    <w:p>
      <w:pPr>
        <w:ind w:left="1140" w:firstLine="652"/>
        <w:spacing w:after="0" w:line="232" w:lineRule="auto"/>
        <w:tabs>
          <w:tab w:leader="none" w:pos="2431"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shares of Common Stock equal to the Target Shares (or such pro-rated amount as set forth in Section 6(b) or 6(d), if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140" w:right="20" w:firstLine="652"/>
        <w:spacing w:after="0" w:line="223" w:lineRule="auto"/>
        <w:tabs>
          <w:tab w:leader="none" w:pos="2431" w:val="left"/>
        </w:tabs>
        <w:numPr>
          <w:ilvl w:val="1"/>
          <w:numId w:val="17"/>
        </w:numPr>
        <w:rPr>
          <w:rFonts w:ascii="Arial" w:cs="Arial" w:eastAsia="Arial" w:hAnsi="Arial"/>
          <w:sz w:val="22"/>
          <w:szCs w:val="22"/>
          <w:color w:val="auto"/>
        </w:rPr>
      </w:pPr>
      <w:r>
        <w:rPr>
          <w:rFonts w:ascii="Arial" w:cs="Arial" w:eastAsia="Arial" w:hAnsi="Arial"/>
          <w:sz w:val="22"/>
          <w:szCs w:val="22"/>
          <w:color w:val="auto"/>
        </w:rPr>
        <w:t>Dividend Equivalents on such shares of Common Stock in the form of shares of Common Stock (rounded up to the nearest whole share) for the period commencing at the beginning of the Performance Cycle and ending on the date immediately preceding the date of the distribution.</w:t>
      </w:r>
    </w:p>
    <w:p>
      <w:pPr>
        <w:spacing w:after="0" w:line="159" w:lineRule="exact"/>
        <w:rPr>
          <w:sz w:val="20"/>
          <w:szCs w:val="20"/>
          <w:color w:val="auto"/>
        </w:rPr>
      </w:pPr>
    </w:p>
    <w:p>
      <w:pPr>
        <w:ind w:left="50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a lump cash payment equal to:</w:t>
      </w:r>
    </w:p>
    <w:p>
      <w:pPr>
        <w:spacing w:after="0" w:line="159" w:lineRule="exact"/>
        <w:rPr>
          <w:sz w:val="20"/>
          <w:szCs w:val="20"/>
          <w:color w:val="auto"/>
        </w:rPr>
      </w:pPr>
    </w:p>
    <w:p>
      <w:pPr>
        <w:jc w:val="both"/>
        <w:ind w:left="1140" w:firstLine="652"/>
        <w:spacing w:after="0" w:line="223" w:lineRule="auto"/>
        <w:tabs>
          <w:tab w:leader="none" w:pos="2431"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the product of (i) the Fair Market Value per share of Common Stock on the date immediately preceding the date of the distribution and (ii) the Target Shares (or such pro-rated amount as set forth in Section 6(b) or 6(d), if applicable);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480" w:top="1252" w:right="339" w:bottom="1440" w:gutter="0" w:footer="0" w:header="0"/>
        </w:sectPr>
      </w:pPr>
    </w:p>
    <w:bookmarkStart w:id="10" w:name="page11"/>
    <w:bookmarkEnd w:id="10"/>
    <w:p>
      <w:pPr>
        <w:ind w:left="1140" w:right="20" w:firstLine="652"/>
        <w:spacing w:after="0" w:line="298" w:lineRule="auto"/>
        <w:tabs>
          <w:tab w:leader="none" w:pos="2431" w:val="left"/>
        </w:tabs>
        <w:numPr>
          <w:ilvl w:val="0"/>
          <w:numId w:val="19"/>
        </w:numPr>
        <w:rPr>
          <w:rFonts w:ascii="Arial" w:cs="Arial" w:eastAsia="Arial" w:hAnsi="Arial"/>
          <w:sz w:val="19"/>
          <w:szCs w:val="19"/>
          <w:color w:val="auto"/>
        </w:rPr>
      </w:pPr>
      <w:r>
        <w:rPr>
          <w:rFonts w:ascii="Arial" w:cs="Arial" w:eastAsia="Arial" w:hAnsi="Arial"/>
          <w:sz w:val="19"/>
          <w:szCs w:val="19"/>
          <w:color w:val="auto"/>
        </w:rPr>
        <w:t>Dividend Equivalents on such shares of Common Stock for the period commencing at the beginning of the Performance Cycle and ending on the date immediately preceding the date of the distribution.</w:t>
      </w:r>
    </w:p>
    <w:p>
      <w:pPr>
        <w:spacing w:after="0" w:line="105" w:lineRule="exact"/>
        <w:rPr>
          <w:sz w:val="20"/>
          <w:szCs w:val="20"/>
          <w:color w:val="auto"/>
        </w:rPr>
      </w:pPr>
    </w:p>
    <w:p>
      <w:pPr>
        <w:ind w:left="500"/>
        <w:spacing w:after="0" w:line="247" w:lineRule="auto"/>
        <w:rPr>
          <w:sz w:val="20"/>
          <w:szCs w:val="20"/>
          <w:color w:val="auto"/>
        </w:rPr>
      </w:pPr>
      <w:r>
        <w:rPr>
          <w:rFonts w:ascii="Arial" w:cs="Arial" w:eastAsia="Arial" w:hAnsi="Arial"/>
          <w:sz w:val="21"/>
          <w:szCs w:val="21"/>
          <w:color w:val="auto"/>
        </w:rPr>
        <w:t>Such distribution, whether in the form of shares of Common Stock or, if directed by the Committee, in cash, shall satisfy the rights of the Participant and the obligations of the Company under this Award Agreement in full.</w:t>
      </w:r>
    </w:p>
    <w:p>
      <w:pPr>
        <w:spacing w:after="0" w:line="151" w:lineRule="exact"/>
        <w:rPr>
          <w:sz w:val="20"/>
          <w:szCs w:val="20"/>
          <w:color w:val="auto"/>
        </w:rPr>
      </w:pPr>
    </w:p>
    <w:p>
      <w:pPr>
        <w:ind w:left="1800" w:hanging="656"/>
        <w:spacing w:after="0"/>
        <w:tabs>
          <w:tab w:leader="none" w:pos="18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140" w:firstLine="652"/>
        <w:spacing w:after="0" w:line="247" w:lineRule="auto"/>
        <w:tabs>
          <w:tab w:leader="none" w:pos="2431" w:val="left"/>
        </w:tabs>
        <w:numPr>
          <w:ilvl w:val="1"/>
          <w:numId w:val="20"/>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6(b),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6(e) on the Change in Control Payment Date.</w:t>
      </w:r>
    </w:p>
    <w:p>
      <w:pPr>
        <w:spacing w:after="0" w:line="150" w:lineRule="exact"/>
        <w:rPr>
          <w:rFonts w:ascii="Arial" w:cs="Arial" w:eastAsia="Arial" w:hAnsi="Arial"/>
          <w:sz w:val="21"/>
          <w:szCs w:val="21"/>
          <w:color w:val="auto"/>
        </w:rPr>
      </w:pPr>
    </w:p>
    <w:p>
      <w:pPr>
        <w:jc w:val="both"/>
        <w:ind w:left="1140" w:firstLine="652"/>
        <w:spacing w:after="0" w:line="268" w:lineRule="auto"/>
        <w:tabs>
          <w:tab w:leader="none" w:pos="2431"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Covered Termination</w:t>
      </w:r>
      <w:r>
        <w:rPr>
          <w:rFonts w:ascii="Arial" w:cs="Arial" w:eastAsia="Arial" w:hAnsi="Arial"/>
          <w:sz w:val="19"/>
          <w:szCs w:val="19"/>
          <w:color w:val="auto"/>
        </w:rPr>
        <w:t>. If the Participant is entitled to a benefit pursuant to Section 6(c) on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 Covered Termination, distributions shall be made in accordance with Section 6(e) not later than the 70th day after the Participant’s Separation from Service date except as otherwise provided in Section 7(c).</w:t>
      </w:r>
    </w:p>
    <w:p>
      <w:pPr>
        <w:spacing w:after="0" w:line="132" w:lineRule="exact"/>
        <w:rPr>
          <w:rFonts w:ascii="Arial" w:cs="Arial" w:eastAsia="Arial" w:hAnsi="Arial"/>
          <w:sz w:val="19"/>
          <w:szCs w:val="19"/>
          <w:color w:val="auto"/>
        </w:rPr>
      </w:pPr>
    </w:p>
    <w:p>
      <w:pPr>
        <w:jc w:val="both"/>
        <w:ind w:left="1140" w:firstLine="652"/>
        <w:spacing w:after="0" w:line="223" w:lineRule="auto"/>
        <w:tabs>
          <w:tab w:leader="none" w:pos="2431"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6(d),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6(e) not later than the 70th day after the date the Sale of a Subsidiary is consummated.</w:t>
      </w:r>
    </w:p>
    <w:p>
      <w:pPr>
        <w:spacing w:after="0" w:line="153" w:lineRule="exact"/>
        <w:rPr>
          <w:sz w:val="20"/>
          <w:szCs w:val="20"/>
          <w:color w:val="auto"/>
        </w:rPr>
      </w:pPr>
    </w:p>
    <w:p>
      <w:pPr>
        <w:ind w:left="1800" w:hanging="656"/>
        <w:spacing w:after="0"/>
        <w:tabs>
          <w:tab w:leader="none" w:pos="1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Distribution of Vested Shares.</w:t>
      </w:r>
    </w:p>
    <w:p>
      <w:pPr>
        <w:spacing w:after="0" w:line="185" w:lineRule="exact"/>
        <w:rPr>
          <w:sz w:val="20"/>
          <w:szCs w:val="20"/>
          <w:color w:val="auto"/>
        </w:rPr>
      </w:pPr>
    </w:p>
    <w:p>
      <w:pPr>
        <w:jc w:val="both"/>
        <w:ind w:left="500" w:firstLine="644"/>
        <w:spacing w:after="0" w:line="218" w:lineRule="auto"/>
        <w:tabs>
          <w:tab w:leader="none" w:pos="179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the Participant’s right to receive shares pursuant to this Award Agreement has vested pursuant to Section 5(a) or Section 5(b)(iii) or (iv), a number of shares of Common Stock equal to the number of Vested Shares shall be distributed no later than March 15th of the calendar year following the calendar year in which occurs the last day of the Performance Cycle.</w:t>
      </w:r>
    </w:p>
    <w:p>
      <w:pPr>
        <w:spacing w:after="0" w:line="160" w:lineRule="exact"/>
        <w:rPr>
          <w:rFonts w:ascii="Arial" w:cs="Arial" w:eastAsia="Arial" w:hAnsi="Arial"/>
          <w:sz w:val="22"/>
          <w:szCs w:val="22"/>
          <w:color w:val="auto"/>
        </w:rPr>
      </w:pPr>
    </w:p>
    <w:p>
      <w:pPr>
        <w:jc w:val="both"/>
        <w:ind w:left="500" w:firstLine="644"/>
        <w:spacing w:after="0" w:line="268" w:lineRule="auto"/>
        <w:tabs>
          <w:tab w:leader="none" w:pos="1791"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the Participant’s right to receive shares pursuant to this Award Agreement has vested pursuant to Section 5(b)(ii), a number of shares of Common Stock equal to the number of Vested Shares shall be distributed not later than the 70th day after the Participant’s Separation from Service date except as otherwise provided in Section 7(c).</w:t>
      </w:r>
    </w:p>
    <w:p>
      <w:pPr>
        <w:spacing w:after="0" w:line="132" w:lineRule="exact"/>
        <w:rPr>
          <w:rFonts w:ascii="Arial" w:cs="Arial" w:eastAsia="Arial" w:hAnsi="Arial"/>
          <w:sz w:val="19"/>
          <w:szCs w:val="19"/>
          <w:color w:val="auto"/>
        </w:rPr>
      </w:pPr>
    </w:p>
    <w:p>
      <w:pPr>
        <w:jc w:val="both"/>
        <w:ind w:left="500" w:firstLine="644"/>
        <w:spacing w:after="0" w:line="214" w:lineRule="auto"/>
        <w:tabs>
          <w:tab w:leader="none" w:pos="1793"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any benefits payable hereunder upon the Participant’s Separation from Service (other than a Separation from Service due to the Participant’s death), if as of the Participant’s Separation from Service date, the Participant is a “specified employee” (within the meaning of Section 409A(a)(2)(B)), then such benefits shall not be distributed until the date that is the earlier of (x) the second business day following the end of the six-month period commencing on the Participant's Separation from Service date or (y) the Participant's date of death, if death occurs during such six-month period.</w:t>
      </w:r>
    </w:p>
    <w:p>
      <w:pPr>
        <w:spacing w:after="0" w:line="158" w:lineRule="exact"/>
        <w:rPr>
          <w:rFonts w:ascii="Arial" w:cs="Arial" w:eastAsia="Arial" w:hAnsi="Arial"/>
          <w:sz w:val="22"/>
          <w:szCs w:val="22"/>
          <w:color w:val="auto"/>
        </w:rPr>
      </w:pPr>
    </w:p>
    <w:p>
      <w:pPr>
        <w:jc w:val="both"/>
        <w:ind w:left="500" w:firstLine="644"/>
        <w:spacing w:after="0" w:line="234" w:lineRule="auto"/>
        <w:tabs>
          <w:tab w:leader="none" w:pos="179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shall have the right to withhold applicable taxes from any such distribution of Vested Shares or from other compensation payable to the Participant at the time of such vesting and distribution pursuant to Section 11 of the Plan (but subject to compliance with the requirements of Section 409A, if applicable).</w:t>
      </w:r>
    </w:p>
    <w:p>
      <w:pPr>
        <w:spacing w:after="0" w:line="157" w:lineRule="exact"/>
        <w:rPr>
          <w:rFonts w:ascii="Arial" w:cs="Arial" w:eastAsia="Arial" w:hAnsi="Arial"/>
          <w:sz w:val="21"/>
          <w:szCs w:val="21"/>
          <w:color w:val="auto"/>
        </w:rPr>
      </w:pPr>
    </w:p>
    <w:p>
      <w:pPr>
        <w:ind w:left="500" w:firstLine="644"/>
        <w:spacing w:after="0" w:line="232" w:lineRule="auto"/>
        <w:tabs>
          <w:tab w:leader="none" w:pos="1793" w:val="left"/>
        </w:tabs>
        <w:numPr>
          <w:ilvl w:val="0"/>
          <w:numId w:val="22"/>
        </w:numPr>
        <w:rPr>
          <w:rFonts w:ascii="Arial" w:cs="Arial" w:eastAsia="Arial" w:hAnsi="Arial"/>
          <w:sz w:val="22"/>
          <w:szCs w:val="22"/>
          <w:color w:val="auto"/>
        </w:rPr>
      </w:pPr>
      <w:r>
        <w:rPr>
          <w:rFonts w:ascii="Arial" w:cs="Arial" w:eastAsia="Arial" w:hAnsi="Arial"/>
          <w:sz w:val="22"/>
          <w:szCs w:val="22"/>
          <w:color w:val="auto"/>
        </w:rPr>
        <w:t>Upon distribution of the Vested Shares pursuant to this Section 7, the Participant shall also be entitled to receive Dividend Equivalents for the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480" w:top="1252" w:right="339" w:bottom="1440" w:gutter="0" w:footer="0" w:header="0"/>
        </w:sectPr>
      </w:pPr>
    </w:p>
    <w:bookmarkStart w:id="11" w:name="page12"/>
    <w:bookmarkEnd w:id="11"/>
    <w:p>
      <w:pPr>
        <w:ind w:left="500"/>
        <w:spacing w:after="0" w:line="232" w:lineRule="auto"/>
        <w:rPr>
          <w:sz w:val="20"/>
          <w:szCs w:val="20"/>
          <w:color w:val="auto"/>
        </w:rPr>
      </w:pPr>
      <w:r>
        <w:rPr>
          <w:rFonts w:ascii="Arial" w:cs="Arial" w:eastAsia="Arial" w:hAnsi="Arial"/>
          <w:sz w:val="22"/>
          <w:szCs w:val="22"/>
          <w:color w:val="auto"/>
        </w:rPr>
        <w:t>for the period after the commencement of the Performance Cycle but prior to the date the Vested Shares are delivered to the Participant (in accordance with the requirements of Section 409A, to the extent applicable).</w:t>
      </w:r>
    </w:p>
    <w:p>
      <w:pPr>
        <w:spacing w:after="0" w:line="153" w:lineRule="exact"/>
        <w:rPr>
          <w:sz w:val="20"/>
          <w:szCs w:val="20"/>
          <w:color w:val="auto"/>
        </w:rPr>
      </w:pPr>
    </w:p>
    <w:p>
      <w:pPr>
        <w:jc w:val="both"/>
        <w:ind w:left="-160" w:firstLine="1304"/>
        <w:spacing w:after="0" w:line="215" w:lineRule="auto"/>
        <w:tabs>
          <w:tab w:leader="none" w:pos="178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800" w:hanging="656"/>
        <w:spacing w:after="0"/>
        <w:tabs>
          <w:tab w:leader="none" w:pos="18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r>
        <w:rPr>
          <w:rFonts w:ascii="Arial" w:cs="Arial" w:eastAsia="Arial" w:hAnsi="Arial"/>
          <w:sz w:val="22"/>
          <w:szCs w:val="22"/>
          <w:color w:val="auto"/>
        </w:rPr>
        <w:t>.</w:t>
      </w:r>
    </w:p>
    <w:p>
      <w:pPr>
        <w:spacing w:after="0" w:line="185" w:lineRule="exact"/>
        <w:rPr>
          <w:sz w:val="20"/>
          <w:szCs w:val="20"/>
          <w:color w:val="auto"/>
        </w:rPr>
      </w:pPr>
    </w:p>
    <w:p>
      <w:pPr>
        <w:jc w:val="both"/>
        <w:ind w:left="500" w:firstLine="644"/>
        <w:spacing w:after="0" w:line="239" w:lineRule="auto"/>
        <w:tabs>
          <w:tab w:leader="none" w:pos="1793"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 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73" w:lineRule="exact"/>
        <w:rPr>
          <w:rFonts w:ascii="Arial" w:cs="Arial" w:eastAsia="Arial" w:hAnsi="Arial"/>
          <w:sz w:val="19"/>
          <w:szCs w:val="19"/>
          <w:color w:val="auto"/>
        </w:rPr>
      </w:pPr>
    </w:p>
    <w:p>
      <w:pPr>
        <w:jc w:val="both"/>
        <w:ind w:left="500" w:firstLine="644"/>
        <w:spacing w:after="0" w:line="223" w:lineRule="auto"/>
        <w:tabs>
          <w:tab w:leader="none" w:pos="179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Return of Property</w:t>
      </w:r>
      <w:r>
        <w:rPr>
          <w:rFonts w:ascii="Arial" w:cs="Arial" w:eastAsia="Arial" w:hAnsi="Arial"/>
          <w:sz w:val="22"/>
          <w:szCs w:val="22"/>
          <w:color w:val="auto"/>
        </w:rPr>
        <w:t>. The Participant agrees that at the time of his or her Separation from Service, he or she will deliver to the Company (and will not keep in his or her possession, recreate or deliver to anyone else) all Confidential Information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480" w:top="1252" w:right="339" w:bottom="1440" w:gutter="0" w:footer="0" w:header="0"/>
        </w:sectPr>
      </w:pPr>
    </w:p>
    <w:bookmarkStart w:id="12" w:name="page13"/>
    <w:bookmarkEnd w:id="12"/>
    <w:p>
      <w:pPr>
        <w:jc w:val="both"/>
        <w:ind w:left="500"/>
        <w:spacing w:after="0" w:line="218" w:lineRule="auto"/>
        <w:rPr>
          <w:sz w:val="20"/>
          <w:szCs w:val="20"/>
          <w:color w:val="auto"/>
        </w:rPr>
      </w:pPr>
      <w:r>
        <w:rPr>
          <w:rFonts w:ascii="Arial" w:cs="Arial" w:eastAsia="Arial" w:hAnsi="Arial"/>
          <w:sz w:val="22"/>
          <w:szCs w:val="22"/>
          <w:color w:val="auto"/>
        </w:rPr>
        <w:t>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61" w:lineRule="exact"/>
        <w:rPr>
          <w:sz w:val="20"/>
          <w:szCs w:val="20"/>
          <w:color w:val="auto"/>
        </w:rPr>
      </w:pPr>
    </w:p>
    <w:p>
      <w:pPr>
        <w:ind w:left="1780" w:hanging="636"/>
        <w:spacing w:after="0"/>
        <w:tabs>
          <w:tab w:leader="none" w:pos="178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40" w:firstLine="652"/>
        <w:spacing w:after="0" w:line="221" w:lineRule="auto"/>
        <w:tabs>
          <w:tab w:leader="none" w:pos="2431" w:val="left"/>
        </w:tabs>
        <w:numPr>
          <w:ilvl w:val="1"/>
          <w:numId w:val="25"/>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9(a))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the Participant had any actual contact while employed at the Company.</w:t>
      </w:r>
    </w:p>
    <w:p>
      <w:pPr>
        <w:spacing w:after="0" w:line="158" w:lineRule="exact"/>
        <w:rPr>
          <w:rFonts w:ascii="Arial" w:cs="Arial" w:eastAsia="Arial" w:hAnsi="Arial"/>
          <w:sz w:val="21"/>
          <w:szCs w:val="21"/>
          <w:color w:val="auto"/>
        </w:rPr>
      </w:pPr>
    </w:p>
    <w:p>
      <w:pPr>
        <w:jc w:val="both"/>
        <w:ind w:left="1140" w:firstLine="652"/>
        <w:spacing w:after="0" w:line="211" w:lineRule="auto"/>
        <w:tabs>
          <w:tab w:leader="none" w:pos="2431" w:val="left"/>
        </w:tabs>
        <w:numPr>
          <w:ilvl w:val="1"/>
          <w:numId w:val="25"/>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140" w:firstLine="652"/>
        <w:spacing w:after="0" w:line="268" w:lineRule="auto"/>
        <w:tabs>
          <w:tab w:leader="none" w:pos="2431" w:val="left"/>
        </w:tabs>
        <w:numPr>
          <w:ilvl w:val="1"/>
          <w:numId w:val="25"/>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9(c)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jc w:val="both"/>
        <w:ind w:left="500" w:firstLine="644"/>
        <w:spacing w:after="0" w:line="244" w:lineRule="auto"/>
        <w:tabs>
          <w:tab w:leader="none" w:pos="179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9, for which the Participant received valuable consideration 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4" w:lineRule="exact"/>
        <w:rPr>
          <w:rFonts w:ascii="Arial" w:cs="Arial" w:eastAsia="Arial" w:hAnsi="Arial"/>
          <w:sz w:val="19"/>
          <w:szCs w:val="19"/>
          <w:color w:val="auto"/>
        </w:rPr>
      </w:pPr>
    </w:p>
    <w:p>
      <w:pPr>
        <w:jc w:val="both"/>
        <w:ind w:left="500" w:firstLine="644"/>
        <w:spacing w:after="0" w:line="223" w:lineRule="auto"/>
        <w:tabs>
          <w:tab w:leader="none" w:pos="179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Violations</w:t>
      </w:r>
      <w:r>
        <w:rPr>
          <w:rFonts w:ascii="Arial" w:cs="Arial" w:eastAsia="Arial" w:hAnsi="Arial"/>
          <w:sz w:val="22"/>
          <w:szCs w:val="22"/>
          <w:color w:val="auto"/>
        </w:rPr>
        <w:t>. If the Participant violates any provision of this Section 9, the Participant shall not be entitled to receive any amounts that would otherwise be payable to the Participant with respect to this Award, and such amounts shall be forfeited.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480" w:top="1252" w:right="339" w:bottom="1440" w:gutter="0" w:footer="0" w:header="0"/>
        </w:sectPr>
      </w:pPr>
    </w:p>
    <w:bookmarkStart w:id="13" w:name="page14"/>
    <w:bookmarkEnd w:id="13"/>
    <w:p>
      <w:pPr>
        <w:jc w:val="both"/>
        <w:ind w:left="660"/>
        <w:spacing w:after="0" w:line="224" w:lineRule="auto"/>
        <w:rPr>
          <w:sz w:val="20"/>
          <w:szCs w:val="20"/>
          <w:color w:val="auto"/>
        </w:rPr>
      </w:pPr>
      <w:r>
        <w:rPr>
          <w:rFonts w:ascii="Arial" w:cs="Arial" w:eastAsia="Arial" w:hAnsi="Arial"/>
          <w:sz w:val="21"/>
          <w:szCs w:val="21"/>
          <w:color w:val="auto"/>
        </w:rPr>
        <w:t>Participant violates any provision of this Section 9 after amounts under this Award have been paid or if the Company learns of the violation after amounts under this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9.</w:t>
      </w:r>
    </w:p>
    <w:p>
      <w:pPr>
        <w:spacing w:after="0" w:line="154" w:lineRule="exact"/>
        <w:rPr>
          <w:sz w:val="20"/>
          <w:szCs w:val="20"/>
          <w:color w:val="auto"/>
        </w:rPr>
      </w:pPr>
    </w:p>
    <w:p>
      <w:pPr>
        <w:jc w:val="both"/>
        <w:ind w:firstLine="1304"/>
        <w:spacing w:after="0" w:line="225" w:lineRule="auto"/>
        <w:tabs>
          <w:tab w:leader="none" w:pos="1944"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155" w:lineRule="exact"/>
        <w:rPr>
          <w:sz w:val="20"/>
          <w:szCs w:val="20"/>
          <w:color w:val="auto"/>
        </w:rPr>
      </w:pPr>
    </w:p>
    <w:p>
      <w:pPr>
        <w:ind w:firstLine="1304"/>
        <w:spacing w:after="0" w:line="235" w:lineRule="auto"/>
        <w:tabs>
          <w:tab w:leader="none" w:pos="1932"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Shares, unless and until the Participant is registered as the holder of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Target Shares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123"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and will be interpreted and administered consistent therewith. Accordingly, (i) no adjustment to the Award pursuant to Section 14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5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CENTERPOINT ENERGY, INC.</w:t>
      </w:r>
    </w:p>
    <w:p>
      <w:pPr>
        <w:jc w:val="center"/>
        <w:spacing w:after="0" w:line="204" w:lineRule="auto"/>
        <w:rPr>
          <w:sz w:val="20"/>
          <w:szCs w:val="20"/>
          <w:color w:val="auto"/>
        </w:rPr>
      </w:pPr>
      <w:r>
        <w:rPr>
          <w:rFonts w:ascii="Arial" w:cs="Arial" w:eastAsia="Arial" w:hAnsi="Arial"/>
          <w:sz w:val="22"/>
          <w:szCs w:val="22"/>
          <w:b w:val="1"/>
          <w:bCs w:val="1"/>
          <w:color w:val="auto"/>
        </w:rPr>
        <w:t>2022 LONG TERM INCENTIVE PLAN</w:t>
      </w:r>
    </w:p>
    <w:p>
      <w:pPr>
        <w:jc w:val="center"/>
        <w:spacing w:after="0" w:line="205" w:lineRule="auto"/>
        <w:rPr>
          <w:sz w:val="20"/>
          <w:szCs w:val="20"/>
          <w:color w:val="auto"/>
        </w:rPr>
      </w:pPr>
      <w:r>
        <w:rPr>
          <w:rFonts w:ascii="Arial" w:cs="Arial" w:eastAsia="Arial" w:hAnsi="Arial"/>
          <w:sz w:val="22"/>
          <w:szCs w:val="22"/>
          <w:b w:val="1"/>
          <w:bCs w:val="1"/>
          <w:color w:val="auto"/>
        </w:rPr>
        <w:t>PERFORMANCE AWARD AGREEMENT</w:t>
      </w:r>
    </w:p>
    <w:p>
      <w:pPr>
        <w:jc w:val="center"/>
        <w:spacing w:after="0" w:line="205" w:lineRule="auto"/>
        <w:rPr>
          <w:sz w:val="20"/>
          <w:szCs w:val="20"/>
          <w:color w:val="auto"/>
        </w:rPr>
      </w:pPr>
      <w:r>
        <w:rPr>
          <w:rFonts w:ascii="Arial" w:cs="Arial" w:eastAsia="Arial" w:hAnsi="Arial"/>
          <w:sz w:val="22"/>
          <w:szCs w:val="22"/>
          <w:b w:val="1"/>
          <w:bCs w:val="1"/>
          <w:color w:val="auto"/>
        </w:rPr>
        <w:t>FOR OFFICERS AND DIRECTOR EMPLOYEES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1, 20XX – DECEMBER 31, 20XX PERFORMANCE CYCLE</w:t>
      </w:r>
    </w:p>
    <w:p>
      <w:pPr>
        <w:spacing w:after="0" w:line="15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9"/>
          <w:szCs w:val="19"/>
          <w:color w:val="auto"/>
        </w:rPr>
        <w:t xml:space="preserve">Pursuant to this Performance Award Agreement (the “Award Agreement”), </w:t>
      </w:r>
      <w:r>
        <w:rPr>
          <w:rFonts w:ascii="Arial" w:cs="Arial" w:eastAsia="Arial" w:hAnsi="Arial"/>
          <w:sz w:val="19"/>
          <w:szCs w:val="19"/>
          <w:b w:val="1"/>
          <w:bCs w:val="1"/>
          <w:color w:val="auto"/>
        </w:rPr>
        <w:t>CenterPoint Energy, Inc.</w:t>
      </w:r>
      <w:r>
        <w:rPr>
          <w:rFonts w:ascii="Arial" w:cs="Arial" w:eastAsia="Arial" w:hAnsi="Arial"/>
          <w:sz w:val="19"/>
          <w:szCs w:val="19"/>
          <w:color w:val="auto"/>
        </w:rPr>
        <w:t xml:space="preserve"> (the “Company”) hereby grants to &lt;first_name&gt; &lt;last_name&gt;, an employee of the Company, this Performance Award (the “Award”) covering the target number of shares, &lt;shares_awarded&gt;, of Common Stock (the “Target Shares”) pursuant to the </w:t>
      </w:r>
      <w:r>
        <w:rPr>
          <w:rFonts w:ascii="Arial" w:cs="Arial" w:eastAsia="Arial" w:hAnsi="Arial"/>
          <w:sz w:val="19"/>
          <w:szCs w:val="19"/>
          <w:b w:val="1"/>
          <w:bCs w:val="1"/>
          <w:color w:val="auto"/>
        </w:rPr>
        <w:t>CenterPoint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Energy, Inc. 2022 Long Term Incentive Plan </w:t>
      </w:r>
      <w:r>
        <w:rPr>
          <w:rFonts w:ascii="Arial" w:cs="Arial" w:eastAsia="Arial" w:hAnsi="Arial"/>
          <w:sz w:val="19"/>
          <w:szCs w:val="19"/>
          <w:color w:val="auto"/>
        </w:rPr>
        <w:t>(the “Plan”). The number of Target Shares shall be subject to adjustment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14 of the Plan, conditioned upon the Company’s achievement of the Performance Goals over the course of the 20XX – 20XX Performance Cycle, and subject to the following terms and conditions:</w:t>
      </w:r>
    </w:p>
    <w:p>
      <w:pPr>
        <w:spacing w:after="0" w:line="146" w:lineRule="exact"/>
        <w:rPr>
          <w:sz w:val="20"/>
          <w:szCs w:val="20"/>
          <w:color w:val="auto"/>
        </w:rPr>
      </w:pPr>
    </w:p>
    <w:p>
      <w:pPr>
        <w:jc w:val="both"/>
        <w:ind w:firstLine="1304"/>
        <w:spacing w:after="0" w:line="225" w:lineRule="auto"/>
        <w:tabs>
          <w:tab w:leader="none" w:pos="1944"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Relationship to the Plan. </w:t>
      </w:r>
      <w:r>
        <w:rPr>
          <w:rFonts w:ascii="Arial" w:cs="Arial" w:eastAsia="Arial" w:hAnsi="Arial"/>
          <w:sz w:val="21"/>
          <w:szCs w:val="21"/>
          <w:color w:val="auto"/>
        </w:rPr>
        <w:t>The Award is subject to all of the terms, conditions and provisions of the Plan in</w:t>
      </w:r>
      <w:r>
        <w:rPr>
          <w:rFonts w:ascii="Arial" w:cs="Arial" w:eastAsia="Arial" w:hAnsi="Arial"/>
          <w:sz w:val="21"/>
          <w:szCs w:val="21"/>
          <w:b w:val="1"/>
          <w:bCs w:val="1"/>
          <w:color w:val="auto"/>
        </w:rPr>
        <w:t xml:space="preserve"> </w:t>
      </w:r>
      <w:r>
        <w:rPr>
          <w:rFonts w:ascii="Arial" w:cs="Arial" w:eastAsia="Arial" w:hAnsi="Arial"/>
          <w:sz w:val="21"/>
          <w:szCs w:val="21"/>
          <w:color w:val="auto"/>
        </w:rPr>
        <w:t>effect on the date hereof and administrative interpretations thereunder, if any, adopted by the Committee.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w:t>
      </w:r>
    </w:p>
    <w:p>
      <w:pPr>
        <w:spacing w:after="0" w:line="153" w:lineRule="exact"/>
        <w:rPr>
          <w:rFonts w:ascii="Arial" w:cs="Arial" w:eastAsia="Arial" w:hAnsi="Arial"/>
          <w:sz w:val="21"/>
          <w:szCs w:val="21"/>
          <w:b w:val="1"/>
          <w:bCs w:val="1"/>
          <w:color w:val="auto"/>
        </w:rPr>
      </w:pPr>
    </w:p>
    <w:p>
      <w:pPr>
        <w:ind w:right="20" w:firstLine="1304"/>
        <w:spacing w:after="0" w:line="235" w:lineRule="auto"/>
        <w:tabs>
          <w:tab w:leader="none" w:pos="1944"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Except as defined herein, capitalized terms shall have the same meanings ascribed to them</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For purposes of this Award Agreement:</w:t>
      </w:r>
    </w:p>
    <w:p>
      <w:pPr>
        <w:spacing w:after="0" w:line="153" w:lineRule="exact"/>
        <w:rPr>
          <w:sz w:val="20"/>
          <w:szCs w:val="20"/>
          <w:color w:val="auto"/>
        </w:rPr>
      </w:pPr>
    </w:p>
    <w:p>
      <w:pPr>
        <w:jc w:val="both"/>
        <w:ind w:left="660" w:firstLine="648"/>
        <w:spacing w:after="0" w:line="225" w:lineRule="auto"/>
        <w:rPr>
          <w:sz w:val="20"/>
          <w:szCs w:val="20"/>
          <w:color w:val="auto"/>
        </w:rPr>
      </w:pPr>
      <w:r>
        <w:rPr>
          <w:rFonts w:ascii="Arial" w:cs="Arial" w:eastAsia="Arial" w:hAnsi="Arial"/>
          <w:sz w:val="22"/>
          <w:szCs w:val="22"/>
          <w:b w:val="1"/>
          <w:bCs w:val="1"/>
          <w:color w:val="auto"/>
        </w:rPr>
        <w:t xml:space="preserve">“Achievement Percentage” </w:t>
      </w:r>
      <w:r>
        <w:rPr>
          <w:rFonts w:ascii="Arial" w:cs="Arial" w:eastAsia="Arial" w:hAnsi="Arial"/>
          <w:sz w:val="22"/>
          <w:szCs w:val="22"/>
          <w:color w:val="auto"/>
        </w:rPr>
        <w:t>means the percentage of achievement determined by the Committee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Cycle in accordance with Section 4 that reflects the extent to which the Company achieved the Performance Goals during the Performance Cycle.</w:t>
      </w:r>
    </w:p>
    <w:p>
      <w:pPr>
        <w:spacing w:after="0" w:line="153"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the Participant's (a) gross negligence in the performance of his or her duties, (b) intentional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“Change in Control Closing Date” </w:t>
      </w:r>
      <w:r>
        <w:rPr>
          <w:rFonts w:ascii="Arial" w:cs="Arial" w:eastAsia="Arial" w:hAnsi="Arial"/>
          <w:sz w:val="19"/>
          <w:szCs w:val="19"/>
          <w:color w:val="auto"/>
        </w:rPr>
        <w:t>means the date a Change in Control is consummated during the Performance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Cycle.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77" w:lineRule="exact"/>
        <w:rPr>
          <w:sz w:val="20"/>
          <w:szCs w:val="20"/>
          <w:color w:val="auto"/>
        </w:rPr>
      </w:pPr>
    </w:p>
    <w:p>
      <w:pPr>
        <w:ind w:left="1300" w:firstLine="652"/>
        <w:spacing w:after="0" w:line="247" w:lineRule="auto"/>
        <w:tabs>
          <w:tab w:leader="none" w:pos="2593" w:val="left"/>
        </w:tabs>
        <w:numPr>
          <w:ilvl w:val="0"/>
          <w:numId w:val="29"/>
        </w:numPr>
        <w:rPr>
          <w:rFonts w:ascii="Arial" w:cs="Arial" w:eastAsia="Arial" w:hAnsi="Arial"/>
          <w:sz w:val="21"/>
          <w:szCs w:val="21"/>
          <w:color w:val="auto"/>
        </w:rPr>
      </w:pPr>
      <w:r>
        <w:rPr>
          <w:rFonts w:ascii="Arial" w:cs="Arial" w:eastAsia="Arial" w:hAnsi="Arial"/>
          <w:sz w:val="21"/>
          <w:szCs w:val="21"/>
          <w:color w:val="auto"/>
        </w:rPr>
        <w:t>If the Change in Control is a Section 409A Change in Control, then the Change in Control Payment Date shall be not later than the 70th day after the Change in Control Closing Date; and</w:t>
      </w:r>
    </w:p>
    <w:p>
      <w:pPr>
        <w:spacing w:after="0" w:line="150" w:lineRule="exact"/>
        <w:rPr>
          <w:rFonts w:ascii="Arial" w:cs="Arial" w:eastAsia="Arial" w:hAnsi="Arial"/>
          <w:sz w:val="21"/>
          <w:szCs w:val="21"/>
          <w:color w:val="auto"/>
        </w:rPr>
      </w:pPr>
    </w:p>
    <w:p>
      <w:pPr>
        <w:jc w:val="both"/>
        <w:ind w:left="1300" w:firstLine="652"/>
        <w:spacing w:after="0" w:line="268" w:lineRule="auto"/>
        <w:tabs>
          <w:tab w:leader="none" w:pos="2591"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Change in Control is a Non-Section 409A Change in Control, then the Change in Control Payment Date shall be a date following the last day of the Performance Cycle but no later than March 15th of the calendar year following the calendar year in which occurs the last day of the Performance</w:t>
      </w:r>
    </w:p>
    <w:p>
      <w:pPr>
        <w:sectPr>
          <w:pgSz w:w="11900" w:h="16838" w:orient="portrait"/>
          <w:cols w:equalWidth="0" w:num="1">
            <w:col w:w="11240"/>
          </w:cols>
          <w:pgMar w:left="320" w:top="1233" w:right="339" w:bottom="1440" w:gutter="0" w:footer="0" w:header="0"/>
        </w:sectPr>
      </w:pPr>
    </w:p>
    <w:bookmarkStart w:id="15" w:name="page16"/>
    <w:bookmarkEnd w:id="15"/>
    <w:p>
      <w:pPr>
        <w:jc w:val="both"/>
        <w:ind w:left="1140"/>
        <w:spacing w:after="0" w:line="234" w:lineRule="auto"/>
        <w:rPr>
          <w:sz w:val="20"/>
          <w:szCs w:val="20"/>
          <w:color w:val="auto"/>
        </w:rPr>
      </w:pPr>
      <w:r>
        <w:rPr>
          <w:rFonts w:ascii="Arial" w:cs="Arial" w:eastAsia="Arial" w:hAnsi="Arial"/>
          <w:sz w:val="21"/>
          <w:szCs w:val="21"/>
          <w:color w:val="auto"/>
        </w:rPr>
        <w:t>Cycle; provided, however, in the case of the Participant’s death or Separation from Service after the Change in Control but prior to such date, all shares not previously paid shall be paid not later than the 70th day after the Participant’s Separation from Service date except as otherwise provided in Section 7(c).</w:t>
      </w:r>
    </w:p>
    <w:p>
      <w:pPr>
        <w:spacing w:after="0" w:line="152" w:lineRule="exact"/>
        <w:rPr>
          <w:sz w:val="20"/>
          <w:szCs w:val="20"/>
          <w:color w:val="auto"/>
        </w:rPr>
      </w:pPr>
    </w:p>
    <w:p>
      <w:pPr>
        <w:ind w:left="500" w:firstLine="648"/>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440" w:hanging="648"/>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440" w:hanging="648"/>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3" w:lineRule="exact"/>
        <w:rPr>
          <w:sz w:val="20"/>
          <w:szCs w:val="20"/>
          <w:color w:val="auto"/>
        </w:rPr>
      </w:pPr>
    </w:p>
    <w:p>
      <w:pPr>
        <w:ind w:left="500" w:firstLine="648"/>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eligible for and in receipt of benefits under the Company’s long-term</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plan.</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140" w:firstLine="652"/>
        <w:spacing w:after="0" w:line="223" w:lineRule="auto"/>
        <w:tabs>
          <w:tab w:leader="none" w:pos="243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140" w:right="20" w:firstLine="652"/>
        <w:spacing w:after="0" w:line="232" w:lineRule="auto"/>
        <w:tabs>
          <w:tab w:leader="none" w:pos="24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140" w:right="20" w:firstLine="652"/>
        <w:spacing w:after="0" w:line="232" w:lineRule="auto"/>
        <w:tabs>
          <w:tab w:leader="none" w:pos="243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140" w:firstLine="652"/>
        <w:spacing w:after="0" w:line="214" w:lineRule="auto"/>
        <w:tabs>
          <w:tab w:leader="none" w:pos="24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(d);</w:t>
      </w:r>
    </w:p>
    <w:p>
      <w:pPr>
        <w:spacing w:after="0" w:line="158" w:lineRule="exact"/>
        <w:rPr>
          <w:rFonts w:ascii="Arial" w:cs="Arial" w:eastAsia="Arial" w:hAnsi="Arial"/>
          <w:sz w:val="22"/>
          <w:szCs w:val="22"/>
          <w:color w:val="auto"/>
        </w:rPr>
      </w:pPr>
    </w:p>
    <w:p>
      <w:pPr>
        <w:jc w:val="both"/>
        <w:ind w:left="1140" w:firstLine="652"/>
        <w:spacing w:after="0" w:line="218" w:lineRule="auto"/>
        <w:tabs>
          <w:tab w:leader="none" w:pos="243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ind w:left="1140" w:firstLine="652"/>
        <w:spacing w:after="0" w:line="232" w:lineRule="auto"/>
        <w:tabs>
          <w:tab w:leader="none" w:pos="24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480" w:top="1252" w:right="339" w:bottom="1440" w:gutter="0" w:footer="0" w:header="0"/>
        </w:sectPr>
      </w:pPr>
    </w:p>
    <w:bookmarkStart w:id="16" w:name="page17"/>
    <w:bookmarkEnd w:id="16"/>
    <w:p>
      <w:pPr>
        <w:ind w:left="1300"/>
        <w:spacing w:after="0"/>
        <w:rPr>
          <w:sz w:val="20"/>
          <w:szCs w:val="20"/>
          <w:color w:val="auto"/>
        </w:rPr>
      </w:pPr>
      <w:r>
        <w:rPr>
          <w:rFonts w:ascii="Arial" w:cs="Arial" w:eastAsia="Arial" w:hAnsi="Arial"/>
          <w:sz w:val="19"/>
          <w:szCs w:val="19"/>
          <w:color w:val="auto"/>
        </w:rPr>
        <w:t>the Participant was principally employed immediately prior to the date on which a Change in Control occurs; or</w:t>
      </w:r>
    </w:p>
    <w:p>
      <w:pPr>
        <w:spacing w:after="0" w:line="214" w:lineRule="exact"/>
        <w:rPr>
          <w:sz w:val="20"/>
          <w:szCs w:val="20"/>
          <w:color w:val="auto"/>
        </w:rPr>
      </w:pPr>
    </w:p>
    <w:p>
      <w:pPr>
        <w:jc w:val="both"/>
        <w:ind w:left="1300" w:firstLine="652"/>
        <w:spacing w:after="0" w:line="223" w:lineRule="auto"/>
        <w:tabs>
          <w:tab w:leader="none" w:pos="2591"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jc w:val="both"/>
        <w:ind w:left="660" w:right="20" w:firstLine="648"/>
        <w:spacing w:after="0" w:line="235" w:lineRule="auto"/>
        <w:rPr>
          <w:sz w:val="20"/>
          <w:szCs w:val="20"/>
          <w:color w:val="auto"/>
        </w:rPr>
      </w:pPr>
      <w:r>
        <w:rPr>
          <w:rFonts w:ascii="Arial" w:cs="Arial" w:eastAsia="Arial" w:hAnsi="Arial"/>
          <w:sz w:val="22"/>
          <w:szCs w:val="22"/>
          <w:b w:val="1"/>
          <w:bCs w:val="1"/>
          <w:color w:val="auto"/>
        </w:rPr>
        <w:t xml:space="preserve">“Non-Section 409A Change in Control” </w:t>
      </w:r>
      <w:r>
        <w:rPr>
          <w:rFonts w:ascii="Arial" w:cs="Arial" w:eastAsia="Arial" w:hAnsi="Arial"/>
          <w:sz w:val="22"/>
          <w:szCs w:val="22"/>
          <w:color w:val="auto"/>
        </w:rPr>
        <w:t>means a Change in Control that is not a Section 409A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“Performance Cycle” </w:t>
      </w:r>
      <w:r>
        <w:rPr>
          <w:rFonts w:ascii="Arial" w:cs="Arial" w:eastAsia="Arial" w:hAnsi="Arial"/>
          <w:sz w:val="19"/>
          <w:szCs w:val="19"/>
          <w:color w:val="auto"/>
        </w:rPr>
        <w:t>means the period beginning on January 1, 20XX and ending on December 31, 20XX.</w:t>
      </w:r>
    </w:p>
    <w:p>
      <w:pPr>
        <w:spacing w:after="0" w:line="214" w:lineRule="exact"/>
        <w:rPr>
          <w:sz w:val="20"/>
          <w:szCs w:val="20"/>
          <w:color w:val="auto"/>
        </w:rPr>
      </w:pPr>
    </w:p>
    <w:p>
      <w:pPr>
        <w:jc w:val="both"/>
        <w:ind w:left="660" w:firstLine="648"/>
        <w:spacing w:after="0" w:line="225" w:lineRule="auto"/>
        <w:rPr>
          <w:sz w:val="20"/>
          <w:szCs w:val="20"/>
          <w:color w:val="auto"/>
        </w:rPr>
      </w:pPr>
      <w:r>
        <w:rPr>
          <w:rFonts w:ascii="Arial" w:cs="Arial" w:eastAsia="Arial" w:hAnsi="Arial"/>
          <w:sz w:val="22"/>
          <w:szCs w:val="22"/>
          <w:b w:val="1"/>
          <w:bCs w:val="1"/>
          <w:color w:val="auto"/>
        </w:rPr>
        <w:t xml:space="preserve">“Performance Goal” </w:t>
      </w:r>
      <w:r>
        <w:rPr>
          <w:rFonts w:ascii="Arial" w:cs="Arial" w:eastAsia="Arial" w:hAnsi="Arial"/>
          <w:sz w:val="22"/>
          <w:szCs w:val="22"/>
          <w:color w:val="auto"/>
        </w:rPr>
        <w:t>means the standards established by the Committee for the Performance Cycle to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in whole or in part the number of Vested Shares pursuant to Section 4, which are specified in a separate document provided with this Award Agreement and made a part hereof for all purposes.</w:t>
      </w:r>
    </w:p>
    <w:p>
      <w:pPr>
        <w:spacing w:after="0" w:line="153" w:lineRule="exact"/>
        <w:rPr>
          <w:sz w:val="20"/>
          <w:szCs w:val="20"/>
          <w:color w:val="auto"/>
        </w:rPr>
      </w:pPr>
    </w:p>
    <w:p>
      <w:pPr>
        <w:jc w:val="both"/>
        <w:ind w:left="660" w:firstLine="648"/>
        <w:spacing w:after="0" w:line="225"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means a Separation from Service (a) on or after the attainment of age 55 and (b) with at least five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years of Employment;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such Separation from Service is not by the Company for Cause or due to Disability.</w:t>
      </w:r>
    </w:p>
    <w:p>
      <w:pPr>
        <w:spacing w:after="0" w:line="45"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51" w:lineRule="exact"/>
        <w:rPr>
          <w:sz w:val="20"/>
          <w:szCs w:val="20"/>
          <w:color w:val="auto"/>
        </w:rPr>
      </w:pPr>
    </w:p>
    <w:p>
      <w:pPr>
        <w:ind w:left="1300" w:firstLine="652"/>
        <w:spacing w:after="0" w:line="232" w:lineRule="auto"/>
        <w:tabs>
          <w:tab w:leader="none" w:pos="2593"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45" w:lineRule="exact"/>
        <w:rPr>
          <w:sz w:val="20"/>
          <w:szCs w:val="20"/>
          <w:color w:val="auto"/>
        </w:rPr>
      </w:pPr>
    </w:p>
    <w:p>
      <w:pPr>
        <w:ind w:left="660" w:firstLine="648"/>
        <w:spacing w:after="0" w:line="253" w:lineRule="auto"/>
        <w:rPr>
          <w:sz w:val="20"/>
          <w:szCs w:val="20"/>
          <w:color w:val="auto"/>
        </w:rPr>
      </w:pPr>
      <w:r>
        <w:rPr>
          <w:rFonts w:ascii="Arial" w:cs="Arial" w:eastAsia="Arial" w:hAnsi="Arial"/>
          <w:sz w:val="21"/>
          <w:szCs w:val="21"/>
          <w:b w:val="1"/>
          <w:bCs w:val="1"/>
          <w:color w:val="auto"/>
        </w:rPr>
        <w:t xml:space="preserve">“Section 16 Officer” </w:t>
      </w:r>
      <w:r>
        <w:rPr>
          <w:rFonts w:ascii="Arial" w:cs="Arial" w:eastAsia="Arial" w:hAnsi="Arial"/>
          <w:sz w:val="21"/>
          <w:szCs w:val="21"/>
          <w:color w:val="auto"/>
        </w:rPr>
        <w:t>means a Participant who is an “officer” within the meaning of Section 16 of the Exchange</w:t>
      </w:r>
      <w:r>
        <w:rPr>
          <w:rFonts w:ascii="Arial" w:cs="Arial" w:eastAsia="Arial" w:hAnsi="Arial"/>
          <w:sz w:val="21"/>
          <w:szCs w:val="21"/>
          <w:b w:val="1"/>
          <w:bCs w:val="1"/>
          <w:color w:val="auto"/>
        </w:rPr>
        <w:t xml:space="preserve"> </w:t>
      </w:r>
      <w:r>
        <w:rPr>
          <w:rFonts w:ascii="Arial" w:cs="Arial" w:eastAsia="Arial" w:hAnsi="Arial"/>
          <w:sz w:val="21"/>
          <w:szCs w:val="21"/>
          <w:color w:val="auto"/>
        </w:rPr>
        <w:t>Act as of the date notice of the Participant’s Retirement is provided in accordance with Section 5(b)(iv).</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83" w:lineRule="exact"/>
        <w:rPr>
          <w:sz w:val="20"/>
          <w:szCs w:val="20"/>
          <w:color w:val="auto"/>
        </w:rPr>
      </w:pPr>
    </w:p>
    <w:p>
      <w:pPr>
        <w:ind w:left="660" w:right="20" w:firstLine="648"/>
        <w:spacing w:after="0" w:line="305"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52" w:right="339" w:bottom="1440" w:gutter="0" w:footer="0" w:header="0"/>
        </w:sectPr>
      </w:pPr>
    </w:p>
    <w:bookmarkStart w:id="17" w:name="page18"/>
    <w:bookmarkEnd w:id="17"/>
    <w:p>
      <w:pPr>
        <w:jc w:val="both"/>
        <w:ind w:left="500" w:right="20" w:firstLine="648"/>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153" w:lineRule="exact"/>
        <w:rPr>
          <w:sz w:val="20"/>
          <w:szCs w:val="20"/>
          <w:color w:val="auto"/>
        </w:rPr>
      </w:pPr>
    </w:p>
    <w:p>
      <w:pPr>
        <w:jc w:val="both"/>
        <w:ind w:left="500" w:firstLine="648"/>
        <w:spacing w:after="0" w:line="235" w:lineRule="auto"/>
        <w:rPr>
          <w:sz w:val="20"/>
          <w:szCs w:val="20"/>
          <w:color w:val="auto"/>
        </w:rPr>
      </w:pPr>
      <w:r>
        <w:rPr>
          <w:rFonts w:ascii="Arial" w:cs="Arial" w:eastAsia="Arial" w:hAnsi="Arial"/>
          <w:sz w:val="22"/>
          <w:szCs w:val="22"/>
          <w:b w:val="1"/>
          <w:bCs w:val="1"/>
          <w:color w:val="auto"/>
        </w:rPr>
        <w:t xml:space="preserve">“Target Shares” </w:t>
      </w:r>
      <w:r>
        <w:rPr>
          <w:rFonts w:ascii="Arial" w:cs="Arial" w:eastAsia="Arial" w:hAnsi="Arial"/>
          <w:sz w:val="22"/>
          <w:szCs w:val="22"/>
          <w:color w:val="auto"/>
        </w:rPr>
        <w:t>means the actual number of shares originally granted to the Participant as specified in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53" w:lineRule="exact"/>
        <w:rPr>
          <w:sz w:val="20"/>
          <w:szCs w:val="20"/>
          <w:color w:val="auto"/>
        </w:rPr>
      </w:pPr>
    </w:p>
    <w:p>
      <w:pPr>
        <w:jc w:val="both"/>
        <w:ind w:left="500" w:firstLine="648"/>
        <w:spacing w:after="0" w:line="271" w:lineRule="auto"/>
        <w:rPr>
          <w:sz w:val="20"/>
          <w:szCs w:val="20"/>
          <w:color w:val="auto"/>
        </w:rPr>
      </w:pPr>
      <w:r>
        <w:rPr>
          <w:rFonts w:ascii="Arial" w:cs="Arial" w:eastAsia="Arial" w:hAnsi="Arial"/>
          <w:sz w:val="19"/>
          <w:szCs w:val="19"/>
          <w:b w:val="1"/>
          <w:bCs w:val="1"/>
          <w:color w:val="auto"/>
        </w:rPr>
        <w:t xml:space="preserve">“Vested Shares” </w:t>
      </w:r>
      <w:r>
        <w:rPr>
          <w:rFonts w:ascii="Arial" w:cs="Arial" w:eastAsia="Arial" w:hAnsi="Arial"/>
          <w:sz w:val="19"/>
          <w:szCs w:val="19"/>
          <w:color w:val="auto"/>
        </w:rPr>
        <w:t>means the shares of Common Stock actually distributable to the Participant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satisfaction of the vesting provisions of Section 5 and, if applicable, the determination by the Committee of the extent to which the Company has achieved the Performance Goals for the Performance Cycle pursuant to Section 4.</w:t>
      </w:r>
    </w:p>
    <w:p>
      <w:pPr>
        <w:spacing w:after="0" w:line="124" w:lineRule="exact"/>
        <w:rPr>
          <w:sz w:val="20"/>
          <w:szCs w:val="20"/>
          <w:color w:val="auto"/>
        </w:rPr>
      </w:pPr>
    </w:p>
    <w:p>
      <w:pPr>
        <w:jc w:val="both"/>
        <w:ind w:left="-160" w:firstLine="1304"/>
        <w:spacing w:after="0" w:line="248" w:lineRule="auto"/>
        <w:tabs>
          <w:tab w:leader="none" w:pos="17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of Award Account. </w:t>
      </w:r>
      <w:r>
        <w:rPr>
          <w:rFonts w:ascii="Arial" w:cs="Arial" w:eastAsia="Arial" w:hAnsi="Arial"/>
          <w:sz w:val="19"/>
          <w:szCs w:val="19"/>
          <w:color w:val="auto"/>
        </w:rPr>
        <w:t>The grant of Target Shares pursuant to this Award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implemented by a credit to a bookkeeping account maintained by the Company evidencing the Participant’s unfunded and unsecured right to receive shares of Common Stock of the Company, which right shall be subject to the terms, conditions and restrictions set forth in the Plan and to the further terms, conditions and restrictions set forth in this Award Agreement. Except as otherwise provided in this Award Agreement, the Target Shares of Common Stock credited to the Participant’s bookkeeping account may not be sold, assigned, transferred, pledged or otherwise encumbered until the Participant has been registered as a holder of shares of Common Stock on the records of the Company as provided in Section 6 or 7 of this Award Agreement.</w:t>
      </w:r>
    </w:p>
    <w:p>
      <w:pPr>
        <w:spacing w:after="0" w:line="147" w:lineRule="exact"/>
        <w:rPr>
          <w:rFonts w:ascii="Arial" w:cs="Arial" w:eastAsia="Arial" w:hAnsi="Arial"/>
          <w:sz w:val="19"/>
          <w:szCs w:val="19"/>
          <w:b w:val="1"/>
          <w:bCs w:val="1"/>
          <w:color w:val="auto"/>
        </w:rPr>
      </w:pPr>
    </w:p>
    <w:p>
      <w:pPr>
        <w:ind w:left="1800" w:hanging="656"/>
        <w:spacing w:after="0"/>
        <w:tabs>
          <w:tab w:leader="none" w:pos="18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Award Opportunity.</w:t>
      </w:r>
    </w:p>
    <w:p>
      <w:pPr>
        <w:spacing w:after="0" w:line="185" w:lineRule="exact"/>
        <w:rPr>
          <w:sz w:val="20"/>
          <w:szCs w:val="20"/>
          <w:color w:val="auto"/>
        </w:rPr>
      </w:pPr>
    </w:p>
    <w:p>
      <w:pPr>
        <w:jc w:val="both"/>
        <w:ind w:left="500" w:firstLine="644"/>
        <w:spacing w:after="0" w:line="218" w:lineRule="auto"/>
        <w:tabs>
          <w:tab w:leader="none" w:pos="1793"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Except as otherwise provided in Section 5(b)(ii), Section 5(b)(iii) or Section 6, the Participant’s Vested Shares shall be the product of the number of Target Shares and the Achievement Percentage that is based upon the Committee’s determination of whether and to what extent the Performance Goals have been achieved during the Performance Cycle.</w:t>
      </w:r>
    </w:p>
    <w:p>
      <w:pPr>
        <w:spacing w:after="0" w:line="160" w:lineRule="exact"/>
        <w:rPr>
          <w:rFonts w:ascii="Arial" w:cs="Arial" w:eastAsia="Arial" w:hAnsi="Arial"/>
          <w:sz w:val="22"/>
          <w:szCs w:val="22"/>
          <w:color w:val="auto"/>
        </w:rPr>
      </w:pPr>
    </w:p>
    <w:p>
      <w:pPr>
        <w:jc w:val="both"/>
        <w:ind w:left="500" w:firstLine="644"/>
        <w:spacing w:after="0" w:line="249" w:lineRule="auto"/>
        <w:tabs>
          <w:tab w:leader="none" w:pos="1791"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 later than 60 days after the close of the Performance Cycle, the Committee shall determine the extent to which each Performance Goal has been achieved. If the Company has performed at or above the threshold level of achievement for a Performance Goal, the Achievement Percentage shall be between X% and X%. In no event shall the Achievement Percentage exceed X%. Upon completing its determination of the level at which the Performance Goals have been achieved, the Committee shall notify the Participant, in the form and manner as determined by the Committee, of the number of Vested Shares that will be issued to the Participant pursuant to Section 5.</w:t>
      </w:r>
    </w:p>
    <w:p>
      <w:pPr>
        <w:spacing w:after="0" w:line="146" w:lineRule="exact"/>
        <w:rPr>
          <w:sz w:val="20"/>
          <w:szCs w:val="20"/>
          <w:color w:val="auto"/>
        </w:rPr>
      </w:pPr>
    </w:p>
    <w:p>
      <w:pPr>
        <w:ind w:left="1800" w:hanging="656"/>
        <w:spacing w:after="0"/>
        <w:tabs>
          <w:tab w:leader="none" w:pos="180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Shares.</w:t>
      </w:r>
    </w:p>
    <w:p>
      <w:pPr>
        <w:spacing w:after="0" w:line="185" w:lineRule="exact"/>
        <w:rPr>
          <w:sz w:val="20"/>
          <w:szCs w:val="20"/>
          <w:color w:val="auto"/>
        </w:rPr>
      </w:pPr>
    </w:p>
    <w:p>
      <w:pPr>
        <w:jc w:val="both"/>
        <w:ind w:left="500" w:firstLine="644"/>
        <w:spacing w:after="0" w:line="212" w:lineRule="auto"/>
        <w:tabs>
          <w:tab w:leader="none" w:pos="1793" w:val="left"/>
        </w:tabs>
        <w:numPr>
          <w:ilvl w:val="0"/>
          <w:numId w:val="37"/>
        </w:numPr>
        <w:rPr>
          <w:rFonts w:ascii="Arial" w:cs="Arial" w:eastAsia="Arial" w:hAnsi="Arial"/>
          <w:sz w:val="22"/>
          <w:szCs w:val="22"/>
          <w:color w:val="auto"/>
        </w:rPr>
      </w:pPr>
      <w:r>
        <w:rPr>
          <w:rFonts w:ascii="Arial" w:cs="Arial" w:eastAsia="Arial" w:hAnsi="Arial"/>
          <w:sz w:val="22"/>
          <w:szCs w:val="22"/>
          <w:color w:val="auto"/>
        </w:rPr>
        <w:t>Unless earlier forfeited in accordance with Section 5(b)(i) or unless earlier vested in accordance with Section 5(b)(ii), Section 6(b), Section 6(c) or Section 6(d), the Participant’s right to receive shares pursuant to this Award Agreement, if any, shall vest on the last day of the Performance Cycle (with the number of shares, if any, based on the Committee’s determination that each Performance Goal has been met (as provided in Section 4)). As soon as administratively practicable, but in no event later than 70 days, after the close of the Performance Cycle, the Committee shall notify the Participant as required by Section 4 of the level at which the Performance Goals established for the Performance Cycle have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480" w:top="1246" w:right="339" w:bottom="1440" w:gutter="0" w:footer="0" w:header="0"/>
        </w:sectPr>
      </w:pPr>
    </w:p>
    <w:bookmarkStart w:id="18" w:name="page19"/>
    <w:bookmarkEnd w:id="18"/>
    <w:p>
      <w:pPr>
        <w:jc w:val="both"/>
        <w:ind w:left="500" w:firstLine="644"/>
        <w:spacing w:after="0" w:line="218" w:lineRule="auto"/>
        <w:tabs>
          <w:tab w:leader="none" w:pos="1791"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the Participant’s Separation from Service date occurs prior to the close of the Performance Cycle and the occurrence of a vesting event described in Section 6(b), 6(c), or 6(d) (in connection with a Change in Control or a Sale of a Subsidiary), then the applicable of the following clauses shall apply with respect to the Target Shares subject to this Award Agreement:</w:t>
      </w:r>
    </w:p>
    <w:p>
      <w:pPr>
        <w:spacing w:after="0" w:line="160" w:lineRule="exact"/>
        <w:rPr>
          <w:rFonts w:ascii="Arial" w:cs="Arial" w:eastAsia="Arial" w:hAnsi="Arial"/>
          <w:sz w:val="22"/>
          <w:szCs w:val="22"/>
          <w:color w:val="auto"/>
        </w:rPr>
      </w:pPr>
    </w:p>
    <w:p>
      <w:pPr>
        <w:jc w:val="both"/>
        <w:ind w:left="1140" w:firstLine="652"/>
        <w:spacing w:after="0" w:line="229" w:lineRule="auto"/>
        <w:tabs>
          <w:tab w:leader="none" w:pos="2424"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Forfeiture of Entire Award</w:t>
      </w:r>
      <w:r>
        <w:rPr>
          <w:rFonts w:ascii="Arial" w:cs="Arial" w:eastAsia="Arial" w:hAnsi="Arial"/>
          <w:sz w:val="21"/>
          <w:szCs w:val="21"/>
          <w:color w:val="auto"/>
        </w:rPr>
        <w:t>. If the Participant’s Employment is terminated, such that the Participant has a Separation from Service, by the Company or any of its Subsidiaries or by the Participant for any reason other than due to death, Disability or Retirement, then the Participant’s right to receive any Target Shares shall be forfeited in its entirety as of the date of such Separation from Service.</w:t>
      </w:r>
    </w:p>
    <w:p>
      <w:pPr>
        <w:spacing w:after="0" w:line="158" w:lineRule="exact"/>
        <w:rPr>
          <w:rFonts w:ascii="Arial" w:cs="Arial" w:eastAsia="Arial" w:hAnsi="Arial"/>
          <w:sz w:val="21"/>
          <w:szCs w:val="21"/>
          <w:color w:val="auto"/>
        </w:rPr>
      </w:pPr>
    </w:p>
    <w:p>
      <w:pPr>
        <w:jc w:val="both"/>
        <w:ind w:left="1140" w:firstLine="652"/>
        <w:spacing w:after="0" w:line="218" w:lineRule="auto"/>
        <w:tabs>
          <w:tab w:leader="none" w:pos="243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the Participant’s Employment is terminated due to death or Disability, the Participant’s right to receive the Target Shares shall vest on the date of such Separation from Service. The Participant’s right to receive any additional shares pursuant to this Award Agreement shall be forfeited at such time.</w:t>
      </w:r>
    </w:p>
    <w:p>
      <w:pPr>
        <w:spacing w:after="0" w:line="160" w:lineRule="exact"/>
        <w:rPr>
          <w:rFonts w:ascii="Arial" w:cs="Arial" w:eastAsia="Arial" w:hAnsi="Arial"/>
          <w:sz w:val="22"/>
          <w:szCs w:val="22"/>
          <w:color w:val="auto"/>
        </w:rPr>
      </w:pPr>
    </w:p>
    <w:p>
      <w:pPr>
        <w:jc w:val="both"/>
        <w:ind w:left="1140" w:firstLine="652"/>
        <w:spacing w:after="0" w:line="243" w:lineRule="auto"/>
        <w:tabs>
          <w:tab w:leader="none" w:pos="2436"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Participant’s Employment is terminated due to Retirement, the Participant’s right to receive shares pursuant to this Award Agreement, if any, shall vest on the date the Committee determines that each Performance Goal has been met (as provided in Section 4) in a pro-rata amount determined by multiplying</w:t>
      </w:r>
    </w:p>
    <w:p>
      <w:pPr>
        <w:spacing w:after="0" w:line="2" w:lineRule="exact"/>
        <w:rPr>
          <w:rFonts w:ascii="Arial" w:cs="Arial" w:eastAsia="Arial" w:hAnsi="Arial"/>
          <w:sz w:val="19"/>
          <w:szCs w:val="19"/>
          <w:color w:val="auto"/>
        </w:rPr>
      </w:pPr>
    </w:p>
    <w:p>
      <w:pPr>
        <w:jc w:val="both"/>
        <w:ind w:left="1140"/>
        <w:spacing w:after="0" w:line="214" w:lineRule="auto"/>
        <w:rPr>
          <w:rFonts w:ascii="Arial" w:cs="Arial" w:eastAsia="Arial" w:hAnsi="Arial"/>
          <w:sz w:val="19"/>
          <w:szCs w:val="19"/>
          <w:color w:val="auto"/>
        </w:rPr>
      </w:pPr>
      <w:r>
        <w:rPr>
          <w:rFonts w:ascii="Arial" w:cs="Arial" w:eastAsia="Arial" w:hAnsi="Arial"/>
          <w:sz w:val="22"/>
          <w:szCs w:val="22"/>
          <w:color w:val="auto"/>
        </w:rPr>
        <w:t>(1) the number of shares awarded to the Participant based upon the Committee’s determination of achievement of Performance Goals as provided in Section 4, by (2) a fraction, the numerator of which is the number of days elapsed in the Performance Cycle as of the date of the Participant’s Separation from Service, and the denominator of which is the total number of days in the Performance Cycle.</w:t>
      </w:r>
    </w:p>
    <w:p>
      <w:pPr>
        <w:spacing w:after="0" w:line="159" w:lineRule="exact"/>
        <w:rPr>
          <w:rFonts w:ascii="Arial" w:cs="Arial" w:eastAsia="Arial" w:hAnsi="Arial"/>
          <w:sz w:val="19"/>
          <w:szCs w:val="19"/>
          <w:color w:val="auto"/>
        </w:rPr>
      </w:pPr>
    </w:p>
    <w:p>
      <w:pPr>
        <w:jc w:val="both"/>
        <w:ind w:left="1140" w:firstLine="652"/>
        <w:spacing w:after="0" w:line="214" w:lineRule="auto"/>
        <w:tabs>
          <w:tab w:leader="none" w:pos="2424"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Enhanced Retirement</w:t>
      </w:r>
      <w:r>
        <w:rPr>
          <w:rFonts w:ascii="Arial" w:cs="Arial" w:eastAsia="Arial" w:hAnsi="Arial"/>
          <w:sz w:val="22"/>
          <w:szCs w:val="22"/>
          <w:color w:val="auto"/>
        </w:rPr>
        <w:t>. If the Participant’s Employment is terminated due to Retirement and the requirements set forth under paragraph (1) or (2) below, as applicable, are satisfied, the</w:t>
      </w:r>
      <w:r>
        <w:rPr>
          <w:rFonts w:ascii="Arial" w:cs="Arial" w:eastAsia="Arial" w:hAnsi="Arial"/>
          <w:sz w:val="20"/>
          <w:szCs w:val="20"/>
          <w:color w:val="auto"/>
        </w:rPr>
        <w:t>n</w:t>
      </w:r>
      <w:r>
        <w:rPr>
          <w:rFonts w:ascii="Arial" w:cs="Arial" w:eastAsia="Arial" w:hAnsi="Arial"/>
          <w:sz w:val="22"/>
          <w:szCs w:val="22"/>
          <w:color w:val="auto"/>
        </w:rPr>
        <w:t xml:space="preserve"> in lieu of the rights and benefits set forth in Section 5(b)(iii), on the date the Committee determines that each Performance Goal has been met (as provided in Section 4), the Participant shall vest in the right to receive the total number of Vested Shares awarded to the Participant based upon the Committee’s determination of achievement of Performance Goals as provided in Section 4.</w:t>
      </w:r>
    </w:p>
    <w:p>
      <w:pPr>
        <w:spacing w:after="0" w:line="158" w:lineRule="exact"/>
        <w:rPr>
          <w:rFonts w:ascii="Arial" w:cs="Arial" w:eastAsia="Arial" w:hAnsi="Arial"/>
          <w:sz w:val="22"/>
          <w:szCs w:val="22"/>
          <w:color w:val="auto"/>
        </w:rPr>
      </w:pPr>
    </w:p>
    <w:p>
      <w:pPr>
        <w:ind w:left="1800" w:firstLine="640"/>
        <w:spacing w:after="0" w:line="232" w:lineRule="auto"/>
        <w:tabs>
          <w:tab w:leader="none" w:pos="3091" w:val="left"/>
        </w:tabs>
        <w:numPr>
          <w:ilvl w:val="2"/>
          <w:numId w:val="38"/>
        </w:numPr>
        <w:rPr>
          <w:rFonts w:ascii="Arial" w:cs="Arial" w:eastAsia="Arial" w:hAnsi="Arial"/>
          <w:sz w:val="22"/>
          <w:szCs w:val="22"/>
          <w:color w:val="auto"/>
        </w:rPr>
      </w:pPr>
      <w:r>
        <w:rPr>
          <w:rFonts w:ascii="Arial" w:cs="Arial" w:eastAsia="Arial" w:hAnsi="Arial"/>
          <w:sz w:val="22"/>
          <w:szCs w:val="22"/>
          <w:color w:val="auto"/>
        </w:rPr>
        <w:t>This paragraph (1) applies if the Participant is not a Section 16 Officer, and the requirements of this paragraph are satisfied if:</w:t>
      </w:r>
    </w:p>
    <w:p>
      <w:pPr>
        <w:spacing w:after="0" w:line="158" w:lineRule="exact"/>
        <w:rPr>
          <w:rFonts w:ascii="Arial" w:cs="Arial" w:eastAsia="Arial" w:hAnsi="Arial"/>
          <w:sz w:val="22"/>
          <w:szCs w:val="22"/>
          <w:color w:val="auto"/>
        </w:rPr>
      </w:pPr>
    </w:p>
    <w:p>
      <w:pPr>
        <w:ind w:left="3720" w:hanging="632"/>
        <w:spacing w:after="0"/>
        <w:tabs>
          <w:tab w:leader="none" w:pos="3720" w:val="left"/>
        </w:tabs>
        <w:numPr>
          <w:ilvl w:val="3"/>
          <w:numId w:val="38"/>
        </w:numPr>
        <w:rPr>
          <w:rFonts w:ascii="Arial" w:cs="Arial" w:eastAsia="Arial" w:hAnsi="Arial"/>
          <w:sz w:val="22"/>
          <w:szCs w:val="22"/>
          <w:color w:val="auto"/>
        </w:rPr>
      </w:pPr>
      <w:r>
        <w:rPr>
          <w:rFonts w:ascii="Arial" w:cs="Arial" w:eastAsia="Arial" w:hAnsi="Arial"/>
          <w:sz w:val="22"/>
          <w:szCs w:val="22"/>
          <w:color w:val="auto"/>
        </w:rPr>
        <w:t>the sum of the Participants age and years of Employment is 65 or greater;</w:t>
      </w:r>
    </w:p>
    <w:p>
      <w:pPr>
        <w:spacing w:after="0" w:line="179" w:lineRule="exact"/>
        <w:rPr>
          <w:rFonts w:ascii="Arial" w:cs="Arial" w:eastAsia="Arial" w:hAnsi="Arial"/>
          <w:sz w:val="22"/>
          <w:szCs w:val="22"/>
          <w:color w:val="auto"/>
        </w:rPr>
      </w:pPr>
    </w:p>
    <w:p>
      <w:pPr>
        <w:ind w:left="3740" w:right="20" w:hanging="652"/>
        <w:spacing w:after="0" w:line="232" w:lineRule="auto"/>
        <w:tabs>
          <w:tab w:leader="none" w:pos="3731" w:val="left"/>
        </w:tabs>
        <w:numPr>
          <w:ilvl w:val="3"/>
          <w:numId w:val="38"/>
        </w:numPr>
        <w:rPr>
          <w:rFonts w:ascii="Arial" w:cs="Arial" w:eastAsia="Arial" w:hAnsi="Arial"/>
          <w:sz w:val="22"/>
          <w:szCs w:val="22"/>
          <w:color w:val="auto"/>
        </w:rPr>
      </w:pPr>
      <w:r>
        <w:rPr>
          <w:rFonts w:ascii="Arial" w:cs="Arial" w:eastAsia="Arial" w:hAnsi="Arial"/>
          <w:sz w:val="22"/>
          <w:szCs w:val="22"/>
          <w:color w:val="auto"/>
        </w:rPr>
        <w:t>the Participant’s Retirement occurs on or after the first anniversary of the beginning of the Performance Cycle;</w:t>
      </w:r>
    </w:p>
    <w:p>
      <w:pPr>
        <w:spacing w:after="0" w:line="158" w:lineRule="exact"/>
        <w:rPr>
          <w:rFonts w:ascii="Arial" w:cs="Arial" w:eastAsia="Arial" w:hAnsi="Arial"/>
          <w:sz w:val="22"/>
          <w:szCs w:val="22"/>
          <w:color w:val="auto"/>
        </w:rPr>
      </w:pPr>
    </w:p>
    <w:p>
      <w:pPr>
        <w:ind w:left="3720" w:hanging="632"/>
        <w:spacing w:after="0"/>
        <w:tabs>
          <w:tab w:leader="none" w:pos="3720" w:val="left"/>
        </w:tabs>
        <w:numPr>
          <w:ilvl w:val="3"/>
          <w:numId w:val="38"/>
        </w:numPr>
        <w:rPr>
          <w:rFonts w:ascii="Arial" w:cs="Arial" w:eastAsia="Arial" w:hAnsi="Arial"/>
          <w:sz w:val="22"/>
          <w:szCs w:val="22"/>
          <w:color w:val="auto"/>
        </w:rPr>
      </w:pPr>
      <w:r>
        <w:rPr>
          <w:rFonts w:ascii="Arial" w:cs="Arial" w:eastAsia="Arial" w:hAnsi="Arial"/>
          <w:sz w:val="22"/>
          <w:szCs w:val="22"/>
          <w:color w:val="auto"/>
        </w:rPr>
        <w:t>the Participant provides to the Company a transition plan; and</w:t>
      </w:r>
    </w:p>
    <w:p>
      <w:pPr>
        <w:spacing w:after="0" w:line="179" w:lineRule="exact"/>
        <w:rPr>
          <w:rFonts w:ascii="Arial" w:cs="Arial" w:eastAsia="Arial" w:hAnsi="Arial"/>
          <w:sz w:val="22"/>
          <w:szCs w:val="22"/>
          <w:color w:val="auto"/>
        </w:rPr>
      </w:pPr>
    </w:p>
    <w:p>
      <w:pPr>
        <w:ind w:left="3740" w:right="20" w:hanging="652"/>
        <w:spacing w:after="0" w:line="232" w:lineRule="auto"/>
        <w:tabs>
          <w:tab w:leader="none" w:pos="3729" w:val="left"/>
        </w:tabs>
        <w:numPr>
          <w:ilvl w:val="3"/>
          <w:numId w:val="38"/>
        </w:numPr>
        <w:rPr>
          <w:rFonts w:ascii="Arial" w:cs="Arial" w:eastAsia="Arial" w:hAnsi="Arial"/>
          <w:sz w:val="22"/>
          <w:szCs w:val="22"/>
          <w:color w:val="auto"/>
        </w:rPr>
      </w:pPr>
      <w:r>
        <w:rPr>
          <w:rFonts w:ascii="Arial" w:cs="Arial" w:eastAsia="Arial" w:hAnsi="Arial"/>
          <w:sz w:val="22"/>
          <w:szCs w:val="22"/>
          <w:color w:val="auto"/>
        </w:rPr>
        <w:t>the Participant provides the Company at least six months’ written notice of the Participant’s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480" w:top="1252" w:right="339" w:bottom="1440" w:gutter="0" w:footer="0" w:header="0"/>
        </w:sectPr>
      </w:pPr>
    </w:p>
    <w:bookmarkStart w:id="19" w:name="page20"/>
    <w:bookmarkEnd w:id="19"/>
    <w:p>
      <w:pPr>
        <w:jc w:val="both"/>
        <w:ind w:left="1800" w:firstLine="640"/>
        <w:spacing w:after="0" w:line="249" w:lineRule="auto"/>
        <w:tabs>
          <w:tab w:leader="none" w:pos="3091"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This paragraph (2) applies if the Participant is a Section 16 Officer, and the requirements of this paragraph are satisfied if: (x) the Participant satisfies (A), (B), and (C) under paragraph (1) above; (y) the Participant provides reasonable advance written notice (as determined by the Committee) of the Participant’s Retirement to the Chief Human Resources Officer; and (z) the Committee approves providing the benefits set forth in this Section 5(b)(iv) above, whose approval must occur prior to the Participant’s Separation from Service and is at the sole discretion of the Committee.</w:t>
      </w:r>
    </w:p>
    <w:p>
      <w:pPr>
        <w:spacing w:after="0" w:line="151" w:lineRule="exact"/>
        <w:rPr>
          <w:rFonts w:ascii="Arial" w:cs="Arial" w:eastAsia="Arial" w:hAnsi="Arial"/>
          <w:sz w:val="19"/>
          <w:szCs w:val="19"/>
          <w:color w:val="auto"/>
        </w:rPr>
      </w:pPr>
    </w:p>
    <w:p>
      <w:pPr>
        <w:ind w:left="500" w:firstLine="644"/>
        <w:spacing w:after="0" w:line="232" w:lineRule="auto"/>
        <w:tabs>
          <w:tab w:leader="none" w:pos="1793"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accordance with the provisions of this Section 5, the Vested Shares shall be distributed as provided in Section 7 hereof.</w:t>
      </w:r>
    </w:p>
    <w:p>
      <w:pPr>
        <w:spacing w:after="0" w:line="153" w:lineRule="exact"/>
        <w:rPr>
          <w:sz w:val="20"/>
          <w:szCs w:val="20"/>
          <w:color w:val="auto"/>
        </w:rPr>
      </w:pPr>
    </w:p>
    <w:p>
      <w:pPr>
        <w:ind w:left="1800" w:hanging="656"/>
        <w:spacing w:after="0"/>
        <w:tabs>
          <w:tab w:leader="none" w:pos="18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left="500" w:firstLine="644"/>
        <w:spacing w:after="0" w:line="257" w:lineRule="auto"/>
        <w:tabs>
          <w:tab w:leader="none" w:pos="179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 Award Agreement or provide a substantially equivalent award in substitution for the shares subject to this Award.</w:t>
      </w:r>
    </w:p>
    <w:p>
      <w:pPr>
        <w:spacing w:after="0" w:line="144" w:lineRule="exact"/>
        <w:rPr>
          <w:rFonts w:ascii="Arial" w:cs="Arial" w:eastAsia="Arial" w:hAnsi="Arial"/>
          <w:sz w:val="19"/>
          <w:szCs w:val="19"/>
          <w:color w:val="auto"/>
        </w:rPr>
      </w:pPr>
    </w:p>
    <w:p>
      <w:pPr>
        <w:jc w:val="both"/>
        <w:ind w:left="500" w:firstLine="644"/>
        <w:spacing w:after="0" w:line="241" w:lineRule="auto"/>
        <w:tabs>
          <w:tab w:leader="none" w:pos="1791"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Vesting Upon a Change in Control</w:t>
      </w:r>
      <w:r>
        <w:rPr>
          <w:rFonts w:ascii="Arial" w:cs="Arial" w:eastAsia="Arial" w:hAnsi="Arial"/>
          <w:sz w:val="20"/>
          <w:szCs w:val="20"/>
          <w:color w:val="auto"/>
        </w:rPr>
        <w:t xml:space="preserve">. </w:t>
      </w:r>
      <w:r>
        <w:rPr>
          <w:rFonts w:ascii="Arial" w:cs="Arial" w:eastAsia="Arial" w:hAnsi="Arial"/>
          <w:sz w:val="18"/>
          <w:szCs w:val="18"/>
          <w:color w:val="auto"/>
        </w:rPr>
        <w:t>Notwithstanding anything herein to the contrary and without regard to the</w:t>
      </w:r>
      <w:r>
        <w:rPr>
          <w:rFonts w:ascii="Arial" w:cs="Arial" w:eastAsia="Arial" w:hAnsi="Arial"/>
          <w:sz w:val="20"/>
          <w:szCs w:val="20"/>
          <w:color w:val="auto"/>
        </w:rPr>
        <w:t xml:space="preserve"> </w:t>
      </w:r>
      <w:r>
        <w:rPr>
          <w:rFonts w:ascii="Arial" w:cs="Arial" w:eastAsia="Arial" w:hAnsi="Arial"/>
          <w:sz w:val="18"/>
          <w:szCs w:val="18"/>
          <w:color w:val="auto"/>
        </w:rPr>
        <w:t xml:space="preserve">Performance Goals, if </w:t>
      </w:r>
      <w:r>
        <w:rPr>
          <w:rFonts w:ascii="Arial" w:cs="Arial" w:eastAsia="Arial" w:hAnsi="Arial"/>
          <w:sz w:val="19"/>
          <w:szCs w:val="19"/>
          <w:color w:val="auto"/>
        </w:rPr>
        <w:t>(i) there is a Change in Control during the Performance Cycle and prior to the Participant’s</w:t>
      </w:r>
      <w:r>
        <w:rPr>
          <w:rFonts w:ascii="Arial" w:cs="Arial" w:eastAsia="Arial" w:hAnsi="Arial"/>
          <w:sz w:val="18"/>
          <w:szCs w:val="18"/>
          <w:color w:val="auto"/>
        </w:rPr>
        <w:t xml:space="preserve"> </w:t>
      </w:r>
      <w:r>
        <w:rPr>
          <w:rFonts w:ascii="Arial" w:cs="Arial" w:eastAsia="Arial" w:hAnsi="Arial"/>
          <w:sz w:val="19"/>
          <w:szCs w:val="19"/>
          <w:color w:val="auto"/>
        </w:rPr>
        <w:t>Separation from Service due to death or Disability and (ii) the Acquiror does not assume or continue this Award or provide a substantially equivalent award in substitution for this Award pursuant to Section 6(a), then upon the Change in Control Closing Date, the Participant’s right to receive the Target Shares shall vest. Notwithstanding the foregoing, in the event the Change in Control occurs after the Participant has had a Separation from Service due to Retirement, unless the requirements set forth in Section 5(b)(iv)(1), (2), (3), and (4) are satisfied, the Target Shares such Participant shall receive under this Section 6(b) shall be pro-rated based on the number of days that elapsed in the Performance Cycle as of the date of the Participant’s Separation from Service over the total number of days in the Performance Cycle.</w:t>
      </w:r>
    </w:p>
    <w:p>
      <w:pPr>
        <w:spacing w:after="0" w:line="162" w:lineRule="exact"/>
        <w:rPr>
          <w:rFonts w:ascii="Arial" w:cs="Arial" w:eastAsia="Arial" w:hAnsi="Arial"/>
          <w:sz w:val="20"/>
          <w:szCs w:val="20"/>
          <w:color w:val="auto"/>
        </w:rPr>
      </w:pPr>
    </w:p>
    <w:p>
      <w:pPr>
        <w:jc w:val="both"/>
        <w:ind w:left="500" w:firstLine="644"/>
        <w:spacing w:after="0" w:line="268" w:lineRule="auto"/>
        <w:tabs>
          <w:tab w:leader="none" w:pos="179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Vesting Upon a Covered Termination</w:t>
      </w:r>
      <w:r>
        <w:rPr>
          <w:rFonts w:ascii="Arial" w:cs="Arial" w:eastAsia="Arial" w:hAnsi="Arial"/>
          <w:sz w:val="19"/>
          <w:szCs w:val="19"/>
          <w:color w:val="auto"/>
        </w:rPr>
        <w:t>. Notwithstanding anything herein to the contrary and without regard to the Performance Goals, if the Participant experiences a Covered Termination during the Performance Cycle, then, upon the date of the Covered Termination, the Participant's right to receive the Target Shares shall vest.</w:t>
      </w:r>
    </w:p>
    <w:p>
      <w:pPr>
        <w:spacing w:after="0" w:line="132" w:lineRule="exact"/>
        <w:rPr>
          <w:rFonts w:ascii="Arial" w:cs="Arial" w:eastAsia="Arial" w:hAnsi="Arial"/>
          <w:sz w:val="19"/>
          <w:szCs w:val="19"/>
          <w:color w:val="auto"/>
        </w:rPr>
      </w:pPr>
    </w:p>
    <w:p>
      <w:pPr>
        <w:jc w:val="both"/>
        <w:ind w:left="500" w:firstLine="644"/>
        <w:spacing w:after="0" w:line="221" w:lineRule="auto"/>
        <w:tabs>
          <w:tab w:leader="none" w:pos="1791"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Vesting Upon the Sale of a Subsidiary</w:t>
      </w:r>
      <w:r>
        <w:rPr>
          <w:rFonts w:ascii="Arial" w:cs="Arial" w:eastAsia="Arial" w:hAnsi="Arial"/>
          <w:sz w:val="21"/>
          <w:szCs w:val="21"/>
          <w:color w:val="auto"/>
        </w:rPr>
        <w:t>. Notwithstanding anything herein to the contrary and without regard to the Performance Goals, if (i) a Sale of a Subsidiary with respect to the Participant occurs during the Performance Cycle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Participant’s right to receive the Target Shares shall vest in the proportion of the number of days elapsed in the Performance Cycle as of the date of the Sale of a Subsidiary by the total number of days in the Performance Cycle. The Participant’s right to receive any additional shares pursuant to this Award Agreement shall be forfeited at such time.</w:t>
      </w:r>
    </w:p>
    <w:p>
      <w:pPr>
        <w:spacing w:after="0" w:line="165" w:lineRule="exact"/>
        <w:rPr>
          <w:rFonts w:ascii="Arial" w:cs="Arial" w:eastAsia="Arial" w:hAnsi="Arial"/>
          <w:sz w:val="21"/>
          <w:szCs w:val="21"/>
          <w:color w:val="auto"/>
        </w:rPr>
      </w:pPr>
    </w:p>
    <w:p>
      <w:pPr>
        <w:ind w:left="500" w:right="20" w:firstLine="644"/>
        <w:spacing w:after="0" w:line="298" w:lineRule="auto"/>
        <w:tabs>
          <w:tab w:leader="none" w:pos="179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Distributions Upon a Change in Control or Sale of a Subsidiary</w:t>
      </w:r>
      <w:r>
        <w:rPr>
          <w:rFonts w:ascii="Arial" w:cs="Arial" w:eastAsia="Arial" w:hAnsi="Arial"/>
          <w:sz w:val="19"/>
          <w:szCs w:val="19"/>
          <w:color w:val="auto"/>
        </w:rPr>
        <w:t>. If the Participant is entitled to a benefit pursuant to Section 6(b), 6(c), or 6(d) hereof, then this Award shall be settled by the distribution to the Participant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480" w:top="1252" w:right="339" w:bottom="1440" w:gutter="0" w:footer="0" w:header="0"/>
        </w:sectPr>
      </w:pPr>
    </w:p>
    <w:bookmarkStart w:id="20" w:name="page21"/>
    <w:bookmarkEnd w:id="20"/>
    <w:p>
      <w:pPr>
        <w:ind w:left="1140" w:firstLine="652"/>
        <w:spacing w:after="0" w:line="232" w:lineRule="auto"/>
        <w:tabs>
          <w:tab w:leader="none" w:pos="2431"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shares of Common Stock equal to the Target Shares (or such pro-rated amount as set forth in Section 6(b) or 6(d), if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140" w:right="20" w:firstLine="652"/>
        <w:spacing w:after="0" w:line="223" w:lineRule="auto"/>
        <w:tabs>
          <w:tab w:leader="none" w:pos="2431"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Dividend Equivalents on such shares of Common Stock in the form of shares of Common Stock (rounded up to the nearest whole share) for the period commencing at the beginning of the Performance Cycle and ending on the date immediately preceding the date of the distribution.</w:t>
      </w:r>
    </w:p>
    <w:p>
      <w:pPr>
        <w:spacing w:after="0" w:line="159" w:lineRule="exact"/>
        <w:rPr>
          <w:sz w:val="20"/>
          <w:szCs w:val="20"/>
          <w:color w:val="auto"/>
        </w:rPr>
      </w:pPr>
    </w:p>
    <w:p>
      <w:pPr>
        <w:ind w:left="50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a lump cash payment equal to:</w:t>
      </w:r>
    </w:p>
    <w:p>
      <w:pPr>
        <w:spacing w:after="0" w:line="159" w:lineRule="exact"/>
        <w:rPr>
          <w:sz w:val="20"/>
          <w:szCs w:val="20"/>
          <w:color w:val="auto"/>
        </w:rPr>
      </w:pPr>
    </w:p>
    <w:p>
      <w:pPr>
        <w:jc w:val="both"/>
        <w:ind w:left="1140" w:firstLine="652"/>
        <w:spacing w:after="0" w:line="223" w:lineRule="auto"/>
        <w:tabs>
          <w:tab w:leader="none" w:pos="2431"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product of (i) the Fair Market Value per share of Common Stock on the date immediately preceding the date of the distribution and (ii) the Target Shares (or such pro-rated amount as set forth in Section 6(b) or 6(d), if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140" w:right="20" w:firstLine="652"/>
        <w:spacing w:after="0" w:line="298" w:lineRule="auto"/>
        <w:tabs>
          <w:tab w:leader="none" w:pos="2431" w:val="left"/>
        </w:tabs>
        <w:numPr>
          <w:ilvl w:val="0"/>
          <w:numId w:val="44"/>
        </w:numPr>
        <w:rPr>
          <w:rFonts w:ascii="Arial" w:cs="Arial" w:eastAsia="Arial" w:hAnsi="Arial"/>
          <w:sz w:val="19"/>
          <w:szCs w:val="19"/>
          <w:color w:val="auto"/>
        </w:rPr>
      </w:pPr>
      <w:r>
        <w:rPr>
          <w:rFonts w:ascii="Arial" w:cs="Arial" w:eastAsia="Arial" w:hAnsi="Arial"/>
          <w:sz w:val="19"/>
          <w:szCs w:val="19"/>
          <w:color w:val="auto"/>
        </w:rPr>
        <w:t>Dividend Equivalents on such shares of Common Stock for the period commencing at the beginning of the Performance Cycle and ending on the date immediately preceding the date of the distribution.</w:t>
      </w:r>
    </w:p>
    <w:p>
      <w:pPr>
        <w:spacing w:after="0" w:line="105" w:lineRule="exact"/>
        <w:rPr>
          <w:sz w:val="20"/>
          <w:szCs w:val="20"/>
          <w:color w:val="auto"/>
        </w:rPr>
      </w:pPr>
    </w:p>
    <w:p>
      <w:pPr>
        <w:ind w:left="500"/>
        <w:spacing w:after="0" w:line="247" w:lineRule="auto"/>
        <w:rPr>
          <w:sz w:val="20"/>
          <w:szCs w:val="20"/>
          <w:color w:val="auto"/>
        </w:rPr>
      </w:pPr>
      <w:r>
        <w:rPr>
          <w:rFonts w:ascii="Arial" w:cs="Arial" w:eastAsia="Arial" w:hAnsi="Arial"/>
          <w:sz w:val="21"/>
          <w:szCs w:val="21"/>
          <w:color w:val="auto"/>
        </w:rPr>
        <w:t>Such distribution, whether in the form of shares of Common Stock or, if directed by the Committee, in cash, shall satisfy the rights of the Participant and the obligations of the Company under this Award Agreement in full.</w:t>
      </w:r>
    </w:p>
    <w:p>
      <w:pPr>
        <w:spacing w:after="0" w:line="151" w:lineRule="exact"/>
        <w:rPr>
          <w:sz w:val="20"/>
          <w:szCs w:val="20"/>
          <w:color w:val="auto"/>
        </w:rPr>
      </w:pPr>
    </w:p>
    <w:p>
      <w:pPr>
        <w:ind w:left="1800" w:hanging="656"/>
        <w:spacing w:after="0"/>
        <w:tabs>
          <w:tab w:leader="none" w:pos="18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140" w:firstLine="652"/>
        <w:spacing w:after="0" w:line="247" w:lineRule="auto"/>
        <w:tabs>
          <w:tab w:leader="none" w:pos="2431" w:val="left"/>
        </w:tabs>
        <w:numPr>
          <w:ilvl w:val="1"/>
          <w:numId w:val="45"/>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6(b),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6(e) on the Change in Control Payment Date.</w:t>
      </w:r>
    </w:p>
    <w:p>
      <w:pPr>
        <w:spacing w:after="0" w:line="150" w:lineRule="exact"/>
        <w:rPr>
          <w:rFonts w:ascii="Arial" w:cs="Arial" w:eastAsia="Arial" w:hAnsi="Arial"/>
          <w:sz w:val="21"/>
          <w:szCs w:val="21"/>
          <w:color w:val="auto"/>
        </w:rPr>
      </w:pPr>
    </w:p>
    <w:p>
      <w:pPr>
        <w:jc w:val="both"/>
        <w:ind w:left="1140" w:firstLine="652"/>
        <w:spacing w:after="0" w:line="268" w:lineRule="auto"/>
        <w:tabs>
          <w:tab w:leader="none" w:pos="2431" w:val="left"/>
        </w:tabs>
        <w:numPr>
          <w:ilvl w:val="1"/>
          <w:numId w:val="45"/>
        </w:numPr>
        <w:rPr>
          <w:rFonts w:ascii="Arial" w:cs="Arial" w:eastAsia="Arial" w:hAnsi="Arial"/>
          <w:sz w:val="19"/>
          <w:szCs w:val="19"/>
          <w:color w:val="auto"/>
        </w:rPr>
      </w:pPr>
      <w:r>
        <w:rPr>
          <w:rFonts w:ascii="Arial" w:cs="Arial" w:eastAsia="Arial" w:hAnsi="Arial"/>
          <w:sz w:val="19"/>
          <w:szCs w:val="19"/>
          <w:i w:val="1"/>
          <w:iCs w:val="1"/>
          <w:color w:val="auto"/>
        </w:rPr>
        <w:t>Covered Termination</w:t>
      </w:r>
      <w:r>
        <w:rPr>
          <w:rFonts w:ascii="Arial" w:cs="Arial" w:eastAsia="Arial" w:hAnsi="Arial"/>
          <w:sz w:val="19"/>
          <w:szCs w:val="19"/>
          <w:color w:val="auto"/>
        </w:rPr>
        <w:t>. If the Participant is entitled to a benefit pursuant to Section 6(c) on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 Covered Termination, distributions shall be made in accordance with Section 6(e) not later than the 70th day after the Participant’s Separation from Service date except as otherwise provided in Section 7(c).</w:t>
      </w:r>
    </w:p>
    <w:p>
      <w:pPr>
        <w:spacing w:after="0" w:line="132" w:lineRule="exact"/>
        <w:rPr>
          <w:rFonts w:ascii="Arial" w:cs="Arial" w:eastAsia="Arial" w:hAnsi="Arial"/>
          <w:sz w:val="19"/>
          <w:szCs w:val="19"/>
          <w:color w:val="auto"/>
        </w:rPr>
      </w:pPr>
    </w:p>
    <w:p>
      <w:pPr>
        <w:jc w:val="both"/>
        <w:ind w:left="1140" w:firstLine="652"/>
        <w:spacing w:after="0" w:line="223" w:lineRule="auto"/>
        <w:tabs>
          <w:tab w:leader="none" w:pos="2431" w:val="left"/>
        </w:tabs>
        <w:numPr>
          <w:ilvl w:val="1"/>
          <w:numId w:val="45"/>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6(d),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6(e) not later than the 70th day after the date the Sale of a Subsidiary is consummated.</w:t>
      </w:r>
    </w:p>
    <w:p>
      <w:pPr>
        <w:spacing w:after="0" w:line="153" w:lineRule="exact"/>
        <w:rPr>
          <w:sz w:val="20"/>
          <w:szCs w:val="20"/>
          <w:color w:val="auto"/>
        </w:rPr>
      </w:pPr>
    </w:p>
    <w:p>
      <w:pPr>
        <w:ind w:left="1800" w:hanging="656"/>
        <w:spacing w:after="0"/>
        <w:tabs>
          <w:tab w:leader="none" w:pos="180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Distribution of Vested Shares.</w:t>
      </w:r>
    </w:p>
    <w:p>
      <w:pPr>
        <w:spacing w:after="0" w:line="185" w:lineRule="exact"/>
        <w:rPr>
          <w:sz w:val="20"/>
          <w:szCs w:val="20"/>
          <w:color w:val="auto"/>
        </w:rPr>
      </w:pPr>
    </w:p>
    <w:p>
      <w:pPr>
        <w:jc w:val="both"/>
        <w:ind w:left="500" w:firstLine="644"/>
        <w:spacing w:after="0" w:line="218" w:lineRule="auto"/>
        <w:tabs>
          <w:tab w:leader="none" w:pos="1793"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Participant’s right to receive shares pursuant to this Award Agreement has vested pursuant to Section 5(a) or Section 5(b)(iii) or (iv), a number of shares of Common Stock equal to the number of Vested Shares shall be distributed no later than March 15th of the calendar year following the calendar year in which occurs the last day of the Performance Cycle.</w:t>
      </w:r>
    </w:p>
    <w:p>
      <w:pPr>
        <w:spacing w:after="0" w:line="160" w:lineRule="exact"/>
        <w:rPr>
          <w:rFonts w:ascii="Arial" w:cs="Arial" w:eastAsia="Arial" w:hAnsi="Arial"/>
          <w:sz w:val="22"/>
          <w:szCs w:val="22"/>
          <w:color w:val="auto"/>
        </w:rPr>
      </w:pPr>
    </w:p>
    <w:p>
      <w:pPr>
        <w:jc w:val="both"/>
        <w:ind w:left="500" w:firstLine="644"/>
        <w:spacing w:after="0" w:line="268" w:lineRule="auto"/>
        <w:tabs>
          <w:tab w:leader="none" w:pos="179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Participant’s right to receive shares pursuant to this Award Agreement has vested pursuant to Section 5(b)(ii), a number of shares of Common Stock equal to the number of Vested Shares shall be distributed not later than the 70th day after the Participant’s Separation from Service date except as otherwise provided in Section 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480" w:top="1252" w:right="339" w:bottom="1440" w:gutter="0" w:footer="0" w:header="0"/>
        </w:sectPr>
      </w:pPr>
    </w:p>
    <w:bookmarkStart w:id="21" w:name="page22"/>
    <w:bookmarkEnd w:id="21"/>
    <w:p>
      <w:pPr>
        <w:jc w:val="both"/>
        <w:ind w:left="500" w:firstLine="644"/>
        <w:spacing w:after="0" w:line="214" w:lineRule="auto"/>
        <w:tabs>
          <w:tab w:leader="none" w:pos="17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 respect to any benefits payable hereunder upon the Participant’s Separation from Service (other than a Separation from Service due to the Participant’s death), if as of the Participant’s Separation from Service date, the Participant is a “specified employee” (within the meaning of Section 409A(a)(2)(B)), then such benefits shall not be distributed until the date that is the earlier of (x) the second business day following the end of the six-month period commencing on the Participant's Separation from Service date or (y) the Participant's date of death, if death occurs during such six-month period.</w:t>
      </w:r>
    </w:p>
    <w:p>
      <w:pPr>
        <w:spacing w:after="0" w:line="158" w:lineRule="exact"/>
        <w:rPr>
          <w:rFonts w:ascii="Arial" w:cs="Arial" w:eastAsia="Arial" w:hAnsi="Arial"/>
          <w:sz w:val="22"/>
          <w:szCs w:val="22"/>
          <w:color w:val="auto"/>
        </w:rPr>
      </w:pPr>
    </w:p>
    <w:p>
      <w:pPr>
        <w:jc w:val="both"/>
        <w:ind w:left="500" w:firstLine="644"/>
        <w:spacing w:after="0" w:line="234" w:lineRule="auto"/>
        <w:tabs>
          <w:tab w:leader="none" w:pos="1791"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shall have the right to withhold applicable taxes from any such distribution of Vested Shares or from other compensation payable to the Participant at the time of such vesting and distribution pursuant to Section 11 of the Plan (but subject to compliance with the requirements of Section 409A, if applicable).</w:t>
      </w:r>
    </w:p>
    <w:p>
      <w:pPr>
        <w:spacing w:after="0" w:line="157" w:lineRule="exact"/>
        <w:rPr>
          <w:rFonts w:ascii="Arial" w:cs="Arial" w:eastAsia="Arial" w:hAnsi="Arial"/>
          <w:sz w:val="21"/>
          <w:szCs w:val="21"/>
          <w:color w:val="auto"/>
        </w:rPr>
      </w:pPr>
    </w:p>
    <w:p>
      <w:pPr>
        <w:jc w:val="both"/>
        <w:ind w:left="500" w:firstLine="644"/>
        <w:spacing w:after="0" w:line="218" w:lineRule="auto"/>
        <w:tabs>
          <w:tab w:leader="none" w:pos="17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distribution of the Vested Shares pursuant to this Section 7, the Participant shall also be entitled to receive Dividend Equivalents for the Vested Shares for the period after the commencement of the Performance Cycle but prior to the date the Vested Shares are delivered to the Participant (in accordance with the requirements of Section 409A, to the extent applicable).</w:t>
      </w:r>
    </w:p>
    <w:p>
      <w:pPr>
        <w:spacing w:after="0" w:line="155" w:lineRule="exact"/>
        <w:rPr>
          <w:sz w:val="20"/>
          <w:szCs w:val="20"/>
          <w:color w:val="auto"/>
        </w:rPr>
      </w:pPr>
    </w:p>
    <w:p>
      <w:pPr>
        <w:jc w:val="both"/>
        <w:ind w:left="-160" w:firstLine="1304"/>
        <w:spacing w:after="0" w:line="215" w:lineRule="auto"/>
        <w:tabs>
          <w:tab w:leader="none" w:pos="1784"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800" w:hanging="656"/>
        <w:spacing w:after="0"/>
        <w:tabs>
          <w:tab w:leader="none" w:pos="180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r>
        <w:rPr>
          <w:rFonts w:ascii="Arial" w:cs="Arial" w:eastAsia="Arial" w:hAnsi="Arial"/>
          <w:sz w:val="22"/>
          <w:szCs w:val="22"/>
          <w:color w:val="auto"/>
        </w:rPr>
        <w:t>.</w:t>
      </w:r>
    </w:p>
    <w:p>
      <w:pPr>
        <w:spacing w:after="0" w:line="185" w:lineRule="exact"/>
        <w:rPr>
          <w:sz w:val="20"/>
          <w:szCs w:val="20"/>
          <w:color w:val="auto"/>
        </w:rPr>
      </w:pPr>
    </w:p>
    <w:p>
      <w:pPr>
        <w:jc w:val="both"/>
        <w:ind w:left="500" w:firstLine="644"/>
        <w:spacing w:after="0"/>
        <w:tabs>
          <w:tab w:leader="none" w:pos="179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 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480" w:top="1252" w:right="339" w:bottom="1440" w:gutter="0" w:footer="0" w:header="0"/>
        </w:sectPr>
      </w:pPr>
    </w:p>
    <w:bookmarkStart w:id="22" w:name="page23"/>
    <w:bookmarkEnd w:id="22"/>
    <w:p>
      <w:pPr>
        <w:jc w:val="both"/>
        <w:ind w:left="500"/>
        <w:spacing w:after="0" w:line="244" w:lineRule="auto"/>
        <w:rPr>
          <w:sz w:val="20"/>
          <w:szCs w:val="20"/>
          <w:color w:val="auto"/>
        </w:rPr>
      </w:pPr>
      <w:r>
        <w:rPr>
          <w:rFonts w:ascii="Arial" w:cs="Arial" w:eastAsia="Arial" w:hAnsi="Arial"/>
          <w:sz w:val="19"/>
          <w:szCs w:val="19"/>
          <w:color w:val="auto"/>
        </w:rPr>
        <w:t>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61" w:lineRule="exact"/>
        <w:rPr>
          <w:sz w:val="20"/>
          <w:szCs w:val="20"/>
          <w:color w:val="auto"/>
        </w:rPr>
      </w:pPr>
    </w:p>
    <w:p>
      <w:pPr>
        <w:jc w:val="both"/>
        <w:ind w:left="500" w:firstLine="644"/>
        <w:spacing w:after="0" w:line="249" w:lineRule="auto"/>
        <w:tabs>
          <w:tab w:leader="none" w:pos="179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1" w:lineRule="exact"/>
        <w:rPr>
          <w:rFonts w:ascii="Arial" w:cs="Arial" w:eastAsia="Arial" w:hAnsi="Arial"/>
          <w:sz w:val="19"/>
          <w:szCs w:val="19"/>
          <w:color w:val="auto"/>
        </w:rPr>
      </w:pPr>
    </w:p>
    <w:p>
      <w:pPr>
        <w:ind w:left="1780" w:hanging="636"/>
        <w:spacing w:after="0"/>
        <w:tabs>
          <w:tab w:leader="none" w:pos="17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40" w:firstLine="652"/>
        <w:spacing w:after="0" w:line="221" w:lineRule="auto"/>
        <w:tabs>
          <w:tab w:leader="none" w:pos="2431" w:val="left"/>
        </w:tabs>
        <w:numPr>
          <w:ilvl w:val="1"/>
          <w:numId w:val="51"/>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9(a))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the Participant had any actual contact while employed at the Company.</w:t>
      </w:r>
    </w:p>
    <w:p>
      <w:pPr>
        <w:spacing w:after="0" w:line="158" w:lineRule="exact"/>
        <w:rPr>
          <w:rFonts w:ascii="Arial" w:cs="Arial" w:eastAsia="Arial" w:hAnsi="Arial"/>
          <w:sz w:val="21"/>
          <w:szCs w:val="21"/>
          <w:color w:val="auto"/>
        </w:rPr>
      </w:pPr>
    </w:p>
    <w:p>
      <w:pPr>
        <w:jc w:val="both"/>
        <w:ind w:left="1140" w:firstLine="652"/>
        <w:spacing w:after="0" w:line="211" w:lineRule="auto"/>
        <w:tabs>
          <w:tab w:leader="none" w:pos="2431"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140" w:firstLine="652"/>
        <w:spacing w:after="0" w:line="268" w:lineRule="auto"/>
        <w:tabs>
          <w:tab w:leader="none" w:pos="2431" w:val="left"/>
        </w:tabs>
        <w:numPr>
          <w:ilvl w:val="1"/>
          <w:numId w:val="51"/>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9(c)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ind w:left="500" w:firstLine="644"/>
        <w:spacing w:after="0" w:line="232" w:lineRule="auto"/>
        <w:tabs>
          <w:tab w:leader="none" w:pos="1791"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Restrictions Reasonable</w:t>
      </w:r>
      <w:r>
        <w:rPr>
          <w:rFonts w:ascii="Arial" w:cs="Arial" w:eastAsia="Arial" w:hAnsi="Arial"/>
          <w:sz w:val="22"/>
          <w:szCs w:val="22"/>
          <w:color w:val="auto"/>
        </w:rPr>
        <w:t>. The Participant acknowledges that the restrictive covenants under this Section 9, for which the Participant received valuable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480" w:top="1252" w:right="339" w:bottom="1440" w:gutter="0" w:footer="0" w:header="0"/>
        </w:sectPr>
      </w:pPr>
    </w:p>
    <w:bookmarkStart w:id="23" w:name="page24"/>
    <w:bookmarkEnd w:id="23"/>
    <w:p>
      <w:pPr>
        <w:jc w:val="both"/>
        <w:ind w:left="660"/>
        <w:spacing w:after="0" w:line="221" w:lineRule="auto"/>
        <w:rPr>
          <w:sz w:val="20"/>
          <w:szCs w:val="20"/>
          <w:color w:val="auto"/>
        </w:rPr>
      </w:pPr>
      <w:r>
        <w:rPr>
          <w:rFonts w:ascii="Arial" w:cs="Arial" w:eastAsia="Arial" w:hAnsi="Arial"/>
          <w:sz w:val="21"/>
          <w:szCs w:val="21"/>
          <w:color w:val="auto"/>
        </w:rPr>
        <w:t>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9" w:lineRule="exact"/>
        <w:rPr>
          <w:sz w:val="20"/>
          <w:szCs w:val="20"/>
          <w:color w:val="auto"/>
        </w:rPr>
      </w:pPr>
    </w:p>
    <w:p>
      <w:pPr>
        <w:jc w:val="both"/>
        <w:ind w:left="660" w:firstLine="644"/>
        <w:spacing w:after="0" w:line="246" w:lineRule="auto"/>
        <w:tabs>
          <w:tab w:leader="none" w:pos="195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9, the Participant shall not be entitled to receive any amounts that would otherwise be payable to the Participant with respect to this Award, and such amounts shall be forfeited. If the Participant violates any provision of this Section 9 after amounts under this Award have been paid or if the Company learns of the violation after amounts under this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9.</w:t>
      </w:r>
    </w:p>
    <w:p>
      <w:pPr>
        <w:spacing w:after="0" w:line="146" w:lineRule="exact"/>
        <w:rPr>
          <w:sz w:val="20"/>
          <w:szCs w:val="20"/>
          <w:color w:val="auto"/>
        </w:rPr>
      </w:pPr>
    </w:p>
    <w:p>
      <w:pPr>
        <w:jc w:val="both"/>
        <w:ind w:firstLine="1304"/>
        <w:spacing w:after="0" w:line="225" w:lineRule="auto"/>
        <w:tabs>
          <w:tab w:leader="none" w:pos="1944"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155" w:lineRule="exact"/>
        <w:rPr>
          <w:sz w:val="20"/>
          <w:szCs w:val="20"/>
          <w:color w:val="auto"/>
        </w:rPr>
      </w:pPr>
    </w:p>
    <w:p>
      <w:pPr>
        <w:ind w:firstLine="1304"/>
        <w:spacing w:after="0" w:line="235" w:lineRule="auto"/>
        <w:tabs>
          <w:tab w:leader="none" w:pos="193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Shares, unless and until the Participant is registered as the holder of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Target Shares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123" w:lineRule="exact"/>
        <w:rPr>
          <w:rFonts w:ascii="Arial" w:cs="Arial" w:eastAsia="Arial" w:hAnsi="Arial"/>
          <w:sz w:val="19"/>
          <w:szCs w:val="19"/>
          <w:b w:val="1"/>
          <w:bCs w:val="1"/>
          <w:color w:val="auto"/>
        </w:rPr>
      </w:pPr>
    </w:p>
    <w:p>
      <w:pPr>
        <w:jc w:val="both"/>
        <w:ind w:firstLine="1304"/>
        <w:spacing w:after="0" w:line="225" w:lineRule="auto"/>
        <w:tabs>
          <w:tab w:leader="none" w:pos="19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52" w:right="339" w:bottom="1440" w:gutter="0" w:footer="0" w:header="0"/>
        </w:sectPr>
      </w:pPr>
    </w:p>
    <w:bookmarkStart w:id="24" w:name="page25"/>
    <w:bookmarkEnd w:id="24"/>
    <w:p>
      <w:pPr>
        <w:spacing w:after="0" w:line="232" w:lineRule="auto"/>
        <w:rPr>
          <w:sz w:val="20"/>
          <w:szCs w:val="20"/>
          <w:color w:val="auto"/>
        </w:rPr>
      </w:pPr>
      <w:r>
        <w:rPr>
          <w:rFonts w:ascii="Arial" w:cs="Arial" w:eastAsia="Arial" w:hAnsi="Arial"/>
          <w:sz w:val="22"/>
          <w:szCs w:val="22"/>
          <w:color w:val="auto"/>
        </w:rPr>
        <w:t>waiver of such right at any other time or times. No term or condition hereof shall be deemed to have been waived except by written instrument.</w:t>
      </w:r>
    </w:p>
    <w:p>
      <w:pPr>
        <w:spacing w:after="0" w:line="153" w:lineRule="exact"/>
        <w:rPr>
          <w:sz w:val="20"/>
          <w:szCs w:val="20"/>
          <w:color w:val="auto"/>
        </w:rPr>
      </w:pPr>
    </w:p>
    <w:p>
      <w:pPr>
        <w:jc w:val="both"/>
        <w:ind w:firstLine="1304"/>
        <w:spacing w:after="0" w:line="217" w:lineRule="auto"/>
        <w:tabs>
          <w:tab w:leader="none" w:pos="1944"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and will be interpreted and administered consistent therewith. Accordingly, (i) no adjustment to the Award pursuant to Section 14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5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CENTERPOINT ENERGY, INC.</w:t>
      </w:r>
    </w:p>
    <w:p>
      <w:pPr>
        <w:jc w:val="center"/>
        <w:spacing w:after="0"/>
        <w:rPr>
          <w:sz w:val="20"/>
          <w:szCs w:val="20"/>
          <w:color w:val="auto"/>
        </w:rPr>
      </w:pPr>
      <w:r>
        <w:rPr>
          <w:rFonts w:ascii="Arial" w:cs="Arial" w:eastAsia="Arial" w:hAnsi="Arial"/>
          <w:sz w:val="22"/>
          <w:szCs w:val="22"/>
          <w:b w:val="1"/>
          <w:bCs w:val="1"/>
          <w:color w:val="auto"/>
        </w:rPr>
        <w:t>2022 LONG TERM INCENTIVE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Pursuant to this Restricted Stock Unit Award Agreement (this “RSU Award Agreement”), </w:t>
      </w:r>
      <w:r>
        <w:rPr>
          <w:rFonts w:ascii="Arial" w:cs="Arial" w:eastAsia="Arial" w:hAnsi="Arial"/>
          <w:sz w:val="19"/>
          <w:szCs w:val="19"/>
          <w:b w:val="1"/>
          <w:bCs w:val="1"/>
          <w:color w:val="auto"/>
        </w:rPr>
        <w:t>CenterPoint Energy,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Inc. </w:t>
      </w:r>
      <w:r>
        <w:rPr>
          <w:rFonts w:ascii="Arial" w:cs="Arial" w:eastAsia="Arial" w:hAnsi="Arial"/>
          <w:sz w:val="19"/>
          <w:szCs w:val="19"/>
          <w:color w:val="auto"/>
        </w:rPr>
        <w:t>(the "Company") hereby grants to [Name] (the “Participant”), effective on [Date] (the “Grant Date”), a restricted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 of [Number] units of Common Stock of the Company (the "RSU Award"), pursuant to the </w:t>
      </w:r>
      <w:r>
        <w:rPr>
          <w:rFonts w:ascii="Arial" w:cs="Arial" w:eastAsia="Arial" w:hAnsi="Arial"/>
          <w:sz w:val="19"/>
          <w:szCs w:val="19"/>
          <w:b w:val="1"/>
          <w:bCs w:val="1"/>
          <w:color w:val="auto"/>
        </w:rPr>
        <w:t>CenterPoint Energy, Inc. 2022</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Long Term Incentive Plan </w:t>
      </w:r>
      <w:r>
        <w:rPr>
          <w:rFonts w:ascii="Arial" w:cs="Arial" w:eastAsia="Arial" w:hAnsi="Arial"/>
          <w:sz w:val="19"/>
          <w:szCs w:val="19"/>
          <w:color w:val="auto"/>
        </w:rPr>
        <w:t>(the "Plan"), with such number of units being subject to adjustment as provided in Section 14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further subject to the terms, conditions and restrictions described in the Plan and as follows:</w:t>
      </w:r>
    </w:p>
    <w:p>
      <w:pPr>
        <w:spacing w:after="0" w:line="140" w:lineRule="exact"/>
        <w:rPr>
          <w:sz w:val="20"/>
          <w:szCs w:val="20"/>
          <w:color w:val="auto"/>
        </w:rPr>
      </w:pPr>
    </w:p>
    <w:p>
      <w:pPr>
        <w:jc w:val="both"/>
        <w:ind w:firstLine="1304"/>
        <w:spacing w:after="0" w:line="248"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Relationship to the Plan; Definitions. </w:t>
      </w:r>
      <w:r>
        <w:rPr>
          <w:rFonts w:ascii="Arial" w:cs="Arial" w:eastAsia="Arial" w:hAnsi="Arial"/>
          <w:sz w:val="19"/>
          <w:szCs w:val="19"/>
          <w:color w:val="auto"/>
        </w:rPr>
        <w:t>This RSU Award is subject to all of the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and administrative interpretations thereunder, if any, which have been adopted by the Committee and are in effect on the date hereof. Except as defined herein, capitalized terms shall have the same meanings ascribed to them under the Plan. To the extent that any provision of this RSU Award Agreement conflicts with the express terms of the Plan, it is hereby acknowledged and agreed that the terms of the Plan shall control and, if necessary, the applicable provisions of this RSU Award Agreement shall be hereby deemed amended so as to carry out the purpose and intent of the Plan. References to the Participant herein also include the heirs or other legal representatives of the Participant.</w:t>
      </w:r>
    </w:p>
    <w:p>
      <w:pPr>
        <w:spacing w:after="0" w:line="147"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Establishment of RSU Award Account. </w:t>
      </w:r>
      <w:r>
        <w:rPr>
          <w:rFonts w:ascii="Arial" w:cs="Arial" w:eastAsia="Arial" w:hAnsi="Arial"/>
          <w:sz w:val="19"/>
          <w:szCs w:val="19"/>
          <w:color w:val="auto"/>
        </w:rPr>
        <w:t>The grant of units of Common Stock of the Company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RSU Award Agreement shall be implemented by a credit to a bookkeeping account maintained by the Company evidencing the accrual in favor of the Participant of the unfunded and unsecured right to receive a corresponding number of shares of Common Stock, which right shall be subject to the terms, conditions and restrictions set forth in the Plan and to the further terms, conditions and restrictions set forth in this RSU Award Agreement. Except as otherwise provided in Section 10 of this RSU Award Agreement, the units of Common Stock credited to the Participant’s bookkeeping account may not be sold, assigned, transferred, pledged or otherwise encumbered until the Participant has been registered as the holder of such shares of Common Stock on the records of the Company as provided in Section 4 or 5 of this RSU Award Agreement.</w:t>
      </w:r>
    </w:p>
    <w:p>
      <w:pPr>
        <w:spacing w:after="0" w:line="152" w:lineRule="exact"/>
        <w:rPr>
          <w:rFonts w:ascii="Arial" w:cs="Arial" w:eastAsia="Arial" w:hAnsi="Arial"/>
          <w:sz w:val="19"/>
          <w:szCs w:val="19"/>
          <w:color w:val="auto"/>
        </w:rPr>
      </w:pPr>
    </w:p>
    <w:p>
      <w:pPr>
        <w:ind w:firstLine="1304"/>
        <w:spacing w:after="0" w:line="235"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Vesting of RSU Award. </w:t>
      </w:r>
      <w:r>
        <w:rPr>
          <w:rFonts w:ascii="Arial" w:cs="Arial" w:eastAsia="Arial" w:hAnsi="Arial"/>
          <w:sz w:val="22"/>
          <w:szCs w:val="22"/>
          <w:color w:val="auto"/>
        </w:rPr>
        <w:t>Unless Participant receives a distribution pursuant to Section 4 below,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right to receive shares of Common Stock under this RSU Award shall vest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&lt;vesting_schedule&gt;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Participant must be in continuous employment with the Company or any of its Subsidiaries ("Employment") from the Grant Date through and as of the applicable vesting date for the Common Stock to vest; otherwise, all such unvested shares as of the date the Participant’s Employment terminates for any reason shall be forfeited as of such termination date.</w:t>
      </w:r>
    </w:p>
    <w:p>
      <w:pPr>
        <w:spacing w:after="0" w:line="126" w:lineRule="exact"/>
        <w:rPr>
          <w:sz w:val="20"/>
          <w:szCs w:val="20"/>
          <w:color w:val="auto"/>
        </w:rPr>
      </w:pPr>
    </w:p>
    <w:p>
      <w:pPr>
        <w:ind w:left="1960" w:hanging="656"/>
        <w:spacing w:after="0"/>
        <w:tabs>
          <w:tab w:leader="none" w:pos="196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82" w:right="339" w:bottom="1440" w:gutter="0" w:footer="0" w:header="0"/>
        </w:sectPr>
      </w:pPr>
    </w:p>
    <w:bookmarkStart w:id="26" w:name="page27"/>
    <w:bookmarkEnd w:id="26"/>
    <w:p>
      <w:pPr>
        <w:jc w:val="both"/>
        <w:ind w:left="480" w:firstLine="644"/>
        <w:spacing w:after="0" w:line="257" w:lineRule="auto"/>
        <w:tabs>
          <w:tab w:leader="none" w:pos="177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 RSU Award Agreement or provide a substantially equivalent award in substitution for the units subject to this RSU Award.</w:t>
      </w:r>
    </w:p>
    <w:p>
      <w:pPr>
        <w:spacing w:after="0" w:line="144" w:lineRule="exact"/>
        <w:rPr>
          <w:rFonts w:ascii="Arial" w:cs="Arial" w:eastAsia="Arial" w:hAnsi="Arial"/>
          <w:sz w:val="19"/>
          <w:szCs w:val="19"/>
          <w:color w:val="auto"/>
        </w:rPr>
      </w:pPr>
    </w:p>
    <w:p>
      <w:pPr>
        <w:jc w:val="both"/>
        <w:ind w:left="480" w:firstLine="644"/>
        <w:spacing w:after="0" w:line="226" w:lineRule="auto"/>
        <w:tabs>
          <w:tab w:leader="none" w:pos="1771"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Vesting Upon a Change in Control</w:t>
      </w:r>
      <w:r>
        <w:rPr>
          <w:rFonts w:ascii="Arial" w:cs="Arial" w:eastAsia="Arial" w:hAnsi="Arial"/>
          <w:sz w:val="21"/>
          <w:szCs w:val="21"/>
          <w:color w:val="auto"/>
        </w:rPr>
        <w:t>. Notwithstanding any provision of this RSU Award Agreement to the contrary, upon the occurrence of a Change in Control of the Company, if (i) the Participant’s Employment has not terminated prior to such date and (ii) the Acquiror does not assume or continue this RSU Award or provide a substantially equivalent award in substitution for this RSU Award pursuant to Section 4(a), the Participant’s right to receive the unvested shares of Common Stock subject to this RSU Award Agreement shall be fully vested.</w:t>
      </w:r>
    </w:p>
    <w:p>
      <w:pPr>
        <w:spacing w:after="0" w:line="159" w:lineRule="exact"/>
        <w:rPr>
          <w:rFonts w:ascii="Arial" w:cs="Arial" w:eastAsia="Arial" w:hAnsi="Arial"/>
          <w:sz w:val="21"/>
          <w:szCs w:val="21"/>
          <w:color w:val="auto"/>
        </w:rPr>
      </w:pPr>
    </w:p>
    <w:p>
      <w:pPr>
        <w:jc w:val="both"/>
        <w:ind w:left="480" w:firstLine="644"/>
        <w:spacing w:after="0" w:line="218" w:lineRule="auto"/>
        <w:tabs>
          <w:tab w:leader="none" w:pos="177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Vesting Upon a Covered Termination</w:t>
      </w:r>
      <w:r>
        <w:rPr>
          <w:rFonts w:ascii="Arial" w:cs="Arial" w:eastAsia="Arial" w:hAnsi="Arial"/>
          <w:sz w:val="22"/>
          <w:szCs w:val="22"/>
          <w:color w:val="auto"/>
        </w:rPr>
        <w:t>. Notwithstanding any provision of this RSU Award Agreement to the contrary, if the Participant experiences a Covered Termination prior to the final vesting date, then, upon the date of the Covered Termination, the Participant’s right to receive any unvested units of Common Stock subject to this RSU Award Agreement shall be fully vested.</w:t>
      </w:r>
    </w:p>
    <w:p>
      <w:pPr>
        <w:spacing w:after="0" w:line="160" w:lineRule="exact"/>
        <w:rPr>
          <w:rFonts w:ascii="Arial" w:cs="Arial" w:eastAsia="Arial" w:hAnsi="Arial"/>
          <w:sz w:val="22"/>
          <w:szCs w:val="22"/>
          <w:color w:val="auto"/>
        </w:rPr>
      </w:pPr>
    </w:p>
    <w:p>
      <w:pPr>
        <w:jc w:val="both"/>
        <w:ind w:left="480" w:firstLine="644"/>
        <w:spacing w:after="0" w:line="244" w:lineRule="auto"/>
        <w:tabs>
          <w:tab w:leader="none" w:pos="177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Vesting Upon the Sale of a Subsidiary</w:t>
      </w:r>
      <w:r>
        <w:rPr>
          <w:rFonts w:ascii="Arial" w:cs="Arial" w:eastAsia="Arial" w:hAnsi="Arial"/>
          <w:sz w:val="19"/>
          <w:szCs w:val="19"/>
          <w:color w:val="auto"/>
        </w:rPr>
        <w:t>. Notwithstanding any provision of this RSU Award Agreement to the contrary, if (i) there is a Sale of a Subsidiary with respect to the Participant prior to the final vesting date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 shall vest in the right to receive a number of the shares of Common Stock (rounded up to the nearest whole share) with respect to the unvested portion of this RSU Award determined by multiplying (A) the total number of units of Common Stock covered by this RSU Award by (B) a fraction, the numerator of which is the number of days that have elapsed from the Award Date to the date the Sale of a Subsidiary is consummated, and the denominator of which is the total number of days from the Award Date until the final Vesting Date. The Participant’s right to receive any additional shares pursuant to this Award Agreement shall be forfeited at such time.</w:t>
      </w:r>
    </w:p>
    <w:p>
      <w:pPr>
        <w:spacing w:after="0" w:line="154" w:lineRule="exact"/>
        <w:rPr>
          <w:rFonts w:ascii="Arial" w:cs="Arial" w:eastAsia="Arial" w:hAnsi="Arial"/>
          <w:sz w:val="19"/>
          <w:szCs w:val="19"/>
          <w:color w:val="auto"/>
        </w:rPr>
      </w:pPr>
    </w:p>
    <w:p>
      <w:pPr>
        <w:ind w:left="480" w:right="20" w:firstLine="644"/>
        <w:spacing w:after="0" w:line="298" w:lineRule="auto"/>
        <w:tabs>
          <w:tab w:leader="none" w:pos="177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Distributions Upon a Change in Control or Sale of a Subsidiary</w:t>
      </w:r>
      <w:r>
        <w:rPr>
          <w:rFonts w:ascii="Arial" w:cs="Arial" w:eastAsia="Arial" w:hAnsi="Arial"/>
          <w:sz w:val="19"/>
          <w:szCs w:val="19"/>
          <w:color w:val="auto"/>
        </w:rPr>
        <w:t>. If the Participant is entitled to a benefit pursuant to Section 4(b), 4(c), or 4(d) hereof, then this RSU Award shall be settled by a distribution to the Participant of:</w:t>
      </w:r>
    </w:p>
    <w:p>
      <w:pPr>
        <w:spacing w:after="0" w:line="105" w:lineRule="exact"/>
        <w:rPr>
          <w:rFonts w:ascii="Arial" w:cs="Arial" w:eastAsia="Arial" w:hAnsi="Arial"/>
          <w:sz w:val="19"/>
          <w:szCs w:val="19"/>
          <w:color w:val="auto"/>
        </w:rPr>
      </w:pPr>
    </w:p>
    <w:p>
      <w:pPr>
        <w:ind w:left="1120" w:firstLine="652"/>
        <w:spacing w:after="0" w:line="298" w:lineRule="auto"/>
        <w:tabs>
          <w:tab w:leader="none" w:pos="2411"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the number of shares of Common Stock subject to this RSU Award Agreement not previously vested pursuant to Section 3 above (or such pro-rated amount as set forth in Section 4(d), if applicable), </w:t>
      </w:r>
      <w:r>
        <w:rPr>
          <w:rFonts w:ascii="Arial" w:cs="Arial" w:eastAsia="Arial" w:hAnsi="Arial"/>
          <w:sz w:val="19"/>
          <w:szCs w:val="19"/>
          <w:i w:val="1"/>
          <w:iCs w:val="1"/>
          <w:color w:val="auto"/>
        </w:rPr>
        <w:t>plus</w:t>
      </w:r>
    </w:p>
    <w:p>
      <w:pPr>
        <w:spacing w:after="0" w:line="105" w:lineRule="exact"/>
        <w:rPr>
          <w:rFonts w:ascii="Arial" w:cs="Arial" w:eastAsia="Arial" w:hAnsi="Arial"/>
          <w:sz w:val="19"/>
          <w:szCs w:val="19"/>
          <w:color w:val="auto"/>
        </w:rPr>
      </w:pPr>
    </w:p>
    <w:p>
      <w:pPr>
        <w:jc w:val="both"/>
        <w:ind w:left="1120" w:firstLine="652"/>
        <w:spacing w:after="0" w:line="223" w:lineRule="auto"/>
        <w:tabs>
          <w:tab w:leader="none" w:pos="2411" w:val="left"/>
        </w:tabs>
        <w:numPr>
          <w:ilvl w:val="1"/>
          <w:numId w:val="58"/>
        </w:numPr>
        <w:rPr>
          <w:rFonts w:ascii="Arial" w:cs="Arial" w:eastAsia="Arial" w:hAnsi="Arial"/>
          <w:sz w:val="22"/>
          <w:szCs w:val="22"/>
          <w:color w:val="auto"/>
        </w:rPr>
      </w:pPr>
      <w:r>
        <w:rPr>
          <w:rFonts w:ascii="Arial" w:cs="Arial" w:eastAsia="Arial" w:hAnsi="Arial"/>
          <w:sz w:val="22"/>
          <w:szCs w:val="22"/>
          <w:color w:val="auto"/>
        </w:rPr>
        <w:t>Dividend Equivalents on such shares of Common Stock in the form of shares of Common Stock (rounded up to the nearest whole share) for the period commencing on the Grant Date and ending on the date immediately preceding the date of the distribution.</w:t>
      </w:r>
    </w:p>
    <w:p>
      <w:pPr>
        <w:spacing w:after="0" w:line="159" w:lineRule="exact"/>
        <w:rPr>
          <w:sz w:val="20"/>
          <w:szCs w:val="20"/>
          <w:color w:val="auto"/>
        </w:rPr>
      </w:pPr>
    </w:p>
    <w:p>
      <w:pPr>
        <w:ind w:left="48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a lump sum cash payment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500" w:top="1401" w:right="339" w:bottom="1440" w:gutter="0" w:footer="0" w:header="0"/>
        </w:sectPr>
      </w:pPr>
    </w:p>
    <w:bookmarkStart w:id="27" w:name="page28"/>
    <w:bookmarkEnd w:id="27"/>
    <w:p>
      <w:pPr>
        <w:jc w:val="both"/>
        <w:ind w:left="1120" w:firstLine="652"/>
        <w:spacing w:after="0" w:line="218" w:lineRule="auto"/>
        <w:tabs>
          <w:tab w:leader="none" w:pos="2411"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product of (x) the Fair Market Value per share of Common Stock on the date immediately preceding the date of the distribution and (y) the number of shares of Common Stock subject to this RSU Award Agreement not previously vested pursuant to Section 3 above (or such pro-rated amount as set forth in Section 4(d), if applicable),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120" w:right="20" w:firstLine="652"/>
        <w:spacing w:after="0" w:line="232" w:lineRule="auto"/>
        <w:tabs>
          <w:tab w:leader="none" w:pos="2411" w:val="left"/>
        </w:tabs>
        <w:numPr>
          <w:ilvl w:val="0"/>
          <w:numId w:val="59"/>
        </w:numPr>
        <w:rPr>
          <w:rFonts w:ascii="Arial" w:cs="Arial" w:eastAsia="Arial" w:hAnsi="Arial"/>
          <w:sz w:val="22"/>
          <w:szCs w:val="22"/>
          <w:color w:val="auto"/>
        </w:rPr>
      </w:pPr>
      <w:r>
        <w:rPr>
          <w:rFonts w:ascii="Arial" w:cs="Arial" w:eastAsia="Arial" w:hAnsi="Arial"/>
          <w:sz w:val="22"/>
          <w:szCs w:val="22"/>
          <w:color w:val="auto"/>
        </w:rPr>
        <w:t>Dividend Equivalents on such shares of Common Stock for the period commencing on the Grant Date and ending on the date immediately preceding the date of the distribution;</w:t>
      </w:r>
    </w:p>
    <w:p>
      <w:pPr>
        <w:spacing w:after="0" w:line="159" w:lineRule="exact"/>
        <w:rPr>
          <w:sz w:val="20"/>
          <w:szCs w:val="20"/>
          <w:color w:val="auto"/>
        </w:rPr>
      </w:pPr>
    </w:p>
    <w:p>
      <w:pPr>
        <w:jc w:val="both"/>
        <w:ind w:left="480"/>
        <w:spacing w:after="0" w:line="223" w:lineRule="auto"/>
        <w:rPr>
          <w:sz w:val="20"/>
          <w:szCs w:val="20"/>
          <w:color w:val="auto"/>
        </w:rPr>
      </w:pPr>
      <w:r>
        <w:rPr>
          <w:rFonts w:ascii="Arial" w:cs="Arial" w:eastAsia="Arial" w:hAnsi="Arial"/>
          <w:sz w:val="22"/>
          <w:szCs w:val="22"/>
          <w:color w:val="auto"/>
        </w:rPr>
        <w:t>The distribution under this Section 4, whether in the form of shares of Common Stock or, if directed by the Committee, in cash, shall satisfy the rights of the Participant and the obligations of the Company under this RSU Award Agreement in full.</w:t>
      </w:r>
    </w:p>
    <w:p>
      <w:pPr>
        <w:spacing w:after="0" w:line="159" w:lineRule="exact"/>
        <w:rPr>
          <w:sz w:val="20"/>
          <w:szCs w:val="20"/>
          <w:color w:val="auto"/>
        </w:rPr>
      </w:pPr>
    </w:p>
    <w:p>
      <w:pPr>
        <w:ind w:left="1780" w:hanging="656"/>
        <w:spacing w:after="0"/>
        <w:tabs>
          <w:tab w:leader="none" w:pos="17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120" w:firstLine="652"/>
        <w:spacing w:after="0" w:line="247" w:lineRule="auto"/>
        <w:tabs>
          <w:tab w:leader="none" w:pos="2411"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4(b),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4(e) on the Change in Control Payment Date.</w:t>
      </w:r>
    </w:p>
    <w:p>
      <w:pPr>
        <w:spacing w:after="0" w:line="150" w:lineRule="exact"/>
        <w:rPr>
          <w:rFonts w:ascii="Arial" w:cs="Arial" w:eastAsia="Arial" w:hAnsi="Arial"/>
          <w:sz w:val="21"/>
          <w:szCs w:val="21"/>
          <w:color w:val="auto"/>
        </w:rPr>
      </w:pPr>
    </w:p>
    <w:p>
      <w:pPr>
        <w:jc w:val="both"/>
        <w:ind w:left="1120" w:firstLine="652"/>
        <w:spacing w:after="0" w:line="268" w:lineRule="auto"/>
        <w:tabs>
          <w:tab w:leader="none" w:pos="2411" w:val="left"/>
        </w:tabs>
        <w:numPr>
          <w:ilvl w:val="1"/>
          <w:numId w:val="60"/>
        </w:numPr>
        <w:rPr>
          <w:rFonts w:ascii="Arial" w:cs="Arial" w:eastAsia="Arial" w:hAnsi="Arial"/>
          <w:sz w:val="19"/>
          <w:szCs w:val="19"/>
          <w:color w:val="auto"/>
        </w:rPr>
      </w:pPr>
      <w:r>
        <w:rPr>
          <w:rFonts w:ascii="Arial" w:cs="Arial" w:eastAsia="Arial" w:hAnsi="Arial"/>
          <w:sz w:val="19"/>
          <w:szCs w:val="19"/>
          <w:i w:val="1"/>
          <w:iCs w:val="1"/>
          <w:color w:val="auto"/>
        </w:rPr>
        <w:t>Covered Termination</w:t>
      </w:r>
      <w:r>
        <w:rPr>
          <w:rFonts w:ascii="Arial" w:cs="Arial" w:eastAsia="Arial" w:hAnsi="Arial"/>
          <w:sz w:val="19"/>
          <w:szCs w:val="19"/>
          <w:color w:val="auto"/>
        </w:rPr>
        <w:t>. If the Participant is entitled to a benefit pursuant to Section 4(c) on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 Covered Termination, distributions shall be made in accordance with Section 4(e) not later than the 70th day after the Participant’s Covered Termination except as otherwise provided in Paragraph (4) below.</w:t>
      </w:r>
    </w:p>
    <w:p>
      <w:pPr>
        <w:spacing w:after="0" w:line="132" w:lineRule="exact"/>
        <w:rPr>
          <w:rFonts w:ascii="Arial" w:cs="Arial" w:eastAsia="Arial" w:hAnsi="Arial"/>
          <w:sz w:val="19"/>
          <w:szCs w:val="19"/>
          <w:color w:val="auto"/>
        </w:rPr>
      </w:pPr>
    </w:p>
    <w:p>
      <w:pPr>
        <w:jc w:val="both"/>
        <w:ind w:left="1120" w:firstLine="652"/>
        <w:spacing w:after="0" w:line="223" w:lineRule="auto"/>
        <w:tabs>
          <w:tab w:leader="none" w:pos="2411" w:val="left"/>
        </w:tabs>
        <w:numPr>
          <w:ilvl w:val="1"/>
          <w:numId w:val="60"/>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4(d),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4(e) not later than the 70th day after the date the Sale of a Subsidiary is consummated.</w:t>
      </w:r>
    </w:p>
    <w:p>
      <w:pPr>
        <w:spacing w:after="0" w:line="158" w:lineRule="exact"/>
        <w:rPr>
          <w:rFonts w:ascii="Arial" w:cs="Arial" w:eastAsia="Arial" w:hAnsi="Arial"/>
          <w:sz w:val="22"/>
          <w:szCs w:val="22"/>
          <w:color w:val="auto"/>
        </w:rPr>
      </w:pPr>
    </w:p>
    <w:p>
      <w:pPr>
        <w:jc w:val="both"/>
        <w:ind w:left="1120" w:firstLine="652"/>
        <w:spacing w:after="0" w:line="224" w:lineRule="auto"/>
        <w:tabs>
          <w:tab w:leader="none" w:pos="2411"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Delay of Distribution to Certain Participants</w:t>
      </w:r>
      <w:r>
        <w:rPr>
          <w:rFonts w:ascii="Arial" w:cs="Arial" w:eastAsia="Arial" w:hAnsi="Arial"/>
          <w:sz w:val="21"/>
          <w:szCs w:val="21"/>
          <w:color w:val="auto"/>
        </w:rPr>
        <w:t>. With respect to any benefits payable hereunder upon</w:t>
      </w:r>
      <w:r>
        <w:rPr>
          <w:rFonts w:ascii="Arial" w:cs="Arial" w:eastAsia="Arial" w:hAnsi="Arial"/>
          <w:sz w:val="21"/>
          <w:szCs w:val="21"/>
          <w:i w:val="1"/>
          <w:iCs w:val="1"/>
          <w:color w:val="auto"/>
        </w:rPr>
        <w:t xml:space="preserve"> </w:t>
      </w:r>
      <w:r>
        <w:rPr>
          <w:rFonts w:ascii="Arial" w:cs="Arial" w:eastAsia="Arial" w:hAnsi="Arial"/>
          <w:sz w:val="21"/>
          <w:szCs w:val="21"/>
          <w:color w:val="auto"/>
        </w:rPr>
        <w:t>the Participant’s Separation from Service (including a Covered Termination), if as of the Participant’s Separation from Service, the Participant is a “specified employee” (within the meaning of Section 409A(a)(2)(B)), then such benefits shall not be distributed until the date that is the earlier of (x) the second business day following the end of the six-month period commencing on the date of the Participant’s Separation from Service or (y) the Participant’s date of death, if death occurs during such six-month period.</w:t>
      </w:r>
    </w:p>
    <w:p>
      <w:pPr>
        <w:spacing w:after="0" w:line="159" w:lineRule="exact"/>
        <w:rPr>
          <w:rFonts w:ascii="Arial" w:cs="Arial" w:eastAsia="Arial" w:hAnsi="Arial"/>
          <w:sz w:val="21"/>
          <w:szCs w:val="21"/>
          <w:color w:val="auto"/>
        </w:rPr>
      </w:pPr>
    </w:p>
    <w:p>
      <w:pPr>
        <w:ind w:left="1760" w:hanging="636"/>
        <w:spacing w:after="0"/>
        <w:tabs>
          <w:tab w:leader="none" w:pos="17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77" w:lineRule="exact"/>
        <w:rPr>
          <w:sz w:val="20"/>
          <w:szCs w:val="20"/>
          <w:color w:val="auto"/>
        </w:rPr>
      </w:pPr>
    </w:p>
    <w:p>
      <w:pPr>
        <w:ind w:left="1120" w:firstLine="652"/>
        <w:spacing w:after="0" w:line="298" w:lineRule="auto"/>
        <w:tabs>
          <w:tab w:leader="none" w:pos="2404"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Change in Control is a Section 409A Change in Control, then the Change in Control Payment Date shall be not later than the 70th day after the date the Change in Control is consummated; and</w:t>
      </w:r>
    </w:p>
    <w:p>
      <w:pPr>
        <w:spacing w:after="0" w:line="105" w:lineRule="exact"/>
        <w:rPr>
          <w:rFonts w:ascii="Arial" w:cs="Arial" w:eastAsia="Arial" w:hAnsi="Arial"/>
          <w:sz w:val="19"/>
          <w:szCs w:val="19"/>
          <w:color w:val="auto"/>
        </w:rPr>
      </w:pPr>
    </w:p>
    <w:p>
      <w:pPr>
        <w:jc w:val="both"/>
        <w:ind w:left="1120" w:firstLine="652"/>
        <w:spacing w:after="0" w:line="218" w:lineRule="auto"/>
        <w:tabs>
          <w:tab w:leader="none" w:pos="241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the Change in Control is a Non-Section 409A Change in Control, then the Change in Control Payment Date shall be the vesting date(s) on which the units are paid under Section 3 hereof for the number of units indicated in Section 3 assuming continuous Employment by the Participant as of such vesting date(s); provided, however, in the case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500" w:top="1401" w:right="339" w:bottom="1440" w:gutter="0" w:footer="0" w:header="0"/>
        </w:sectPr>
      </w:pPr>
    </w:p>
    <w:bookmarkStart w:id="28" w:name="page29"/>
    <w:bookmarkEnd w:id="28"/>
    <w:p>
      <w:pPr>
        <w:jc w:val="both"/>
        <w:ind w:left="1120"/>
        <w:spacing w:after="0" w:line="223" w:lineRule="auto"/>
        <w:rPr>
          <w:sz w:val="20"/>
          <w:szCs w:val="20"/>
          <w:color w:val="auto"/>
        </w:rPr>
      </w:pPr>
      <w:r>
        <w:rPr>
          <w:rFonts w:ascii="Arial" w:cs="Arial" w:eastAsia="Arial" w:hAnsi="Arial"/>
          <w:sz w:val="22"/>
          <w:szCs w:val="22"/>
          <w:color w:val="auto"/>
        </w:rPr>
        <w:t>death or Separation from Service prior to the vesting date(s), all shares not previously paid shall be paid not later than the 70th day after the date of the Participant’s Separation from Service except as otherwise provided in Section 4(f)(4).</w:t>
      </w:r>
    </w:p>
    <w:p>
      <w:pPr>
        <w:spacing w:after="0" w:line="153" w:lineRule="exact"/>
        <w:rPr>
          <w:sz w:val="20"/>
          <w:szCs w:val="20"/>
          <w:color w:val="auto"/>
        </w:rPr>
      </w:pPr>
    </w:p>
    <w:p>
      <w:pPr>
        <w:ind w:left="480" w:firstLine="648"/>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400" w:hanging="628"/>
        <w:spacing w:after="0"/>
        <w:tabs>
          <w:tab w:leader="none" w:pos="24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420" w:hanging="648"/>
        <w:spacing w:after="0"/>
        <w:tabs>
          <w:tab w:leader="none" w:pos="2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420" w:hanging="648"/>
        <w:spacing w:after="0"/>
        <w:tabs>
          <w:tab w:leader="none" w:pos="2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400" w:hanging="628"/>
        <w:spacing w:after="0"/>
        <w:tabs>
          <w:tab w:leader="none" w:pos="24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9" w:lineRule="exact"/>
        <w:rPr>
          <w:sz w:val="20"/>
          <w:szCs w:val="20"/>
          <w:color w:val="auto"/>
        </w:rPr>
      </w:pPr>
    </w:p>
    <w:p>
      <w:pPr>
        <w:jc w:val="both"/>
        <w:ind w:left="480"/>
        <w:spacing w:after="0" w:line="246" w:lineRule="auto"/>
        <w:rPr>
          <w:sz w:val="20"/>
          <w:szCs w:val="20"/>
          <w:color w:val="auto"/>
        </w:rPr>
      </w:pPr>
      <w:r>
        <w:rPr>
          <w:rFonts w:ascii="Arial" w:cs="Arial" w:eastAsia="Arial" w:hAnsi="Arial"/>
          <w:sz w:val="19"/>
          <w:szCs w:val="19"/>
          <w:color w:val="auto"/>
        </w:rPr>
        <w:t>“Disability” for this purpose means that the Participant is both eligible for and in receipt of benefits under the Company’s long-term disability plan. “Cause” means the Participant’s (i) gross negligence in the performance of his or her duties, (ii) intentional and continued failure to perform his or her duties, (iii) intentional engagement in conduct which is materially injurious to the Company or its Subsidiaries (monetarily or otherwise) or (iv)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120" w:firstLine="652"/>
        <w:spacing w:after="0" w:line="223" w:lineRule="auto"/>
        <w:tabs>
          <w:tab w:leader="none" w:pos="2404"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120" w:right="20" w:firstLine="652"/>
        <w:spacing w:after="0" w:line="232" w:lineRule="auto"/>
        <w:tabs>
          <w:tab w:leader="none" w:pos="24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120" w:firstLine="652"/>
        <w:spacing w:after="0" w:line="232" w:lineRule="auto"/>
        <w:tabs>
          <w:tab w:leader="none" w:pos="241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120" w:firstLine="652"/>
        <w:spacing w:after="0" w:line="214" w:lineRule="auto"/>
        <w:tabs>
          <w:tab w:leader="none" w:pos="2404"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500" w:top="1401" w:right="339" w:bottom="1440" w:gutter="0" w:footer="0" w:header="0"/>
        </w:sectPr>
      </w:pPr>
    </w:p>
    <w:bookmarkStart w:id="29" w:name="page30"/>
    <w:bookmarkEnd w:id="29"/>
    <w:p>
      <w:pPr>
        <w:jc w:val="both"/>
        <w:ind w:left="1120" w:firstLine="652"/>
        <w:spacing w:after="0" w:line="218" w:lineRule="auto"/>
        <w:tabs>
          <w:tab w:leader="none" w:pos="2411"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jc w:val="both"/>
        <w:ind w:left="1120" w:firstLine="652"/>
        <w:spacing w:after="0" w:line="223" w:lineRule="auto"/>
        <w:tabs>
          <w:tab w:leader="none" w:pos="240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 the Participant was principally employed immediately prior to the date on which a Change in Control occurs; or</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ind w:left="480"/>
        <w:spacing w:after="0" w:line="246" w:lineRule="auto"/>
        <w:rPr>
          <w:sz w:val="20"/>
          <w:szCs w:val="20"/>
          <w:color w:val="auto"/>
        </w:rPr>
      </w:pPr>
      <w:r>
        <w:rPr>
          <w:rFonts w:ascii="Arial" w:cs="Arial" w:eastAsia="Arial" w:hAnsi="Arial"/>
          <w:sz w:val="19"/>
          <w:szCs w:val="19"/>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46" w:lineRule="exact"/>
        <w:rPr>
          <w:sz w:val="20"/>
          <w:szCs w:val="20"/>
          <w:color w:val="auto"/>
        </w:rPr>
      </w:pPr>
    </w:p>
    <w:p>
      <w:pPr>
        <w:jc w:val="both"/>
        <w:ind w:left="480" w:right="20" w:firstLine="648"/>
        <w:spacing w:after="0" w:line="235" w:lineRule="auto"/>
        <w:rPr>
          <w:sz w:val="20"/>
          <w:szCs w:val="20"/>
          <w:color w:val="auto"/>
        </w:rPr>
      </w:pPr>
      <w:r>
        <w:rPr>
          <w:rFonts w:ascii="Arial" w:cs="Arial" w:eastAsia="Arial" w:hAnsi="Arial"/>
          <w:sz w:val="22"/>
          <w:szCs w:val="22"/>
          <w:b w:val="1"/>
          <w:bCs w:val="1"/>
          <w:color w:val="auto"/>
        </w:rPr>
        <w:t xml:space="preserve">“Non-Section 409A Change in Control” </w:t>
      </w:r>
      <w:r>
        <w:rPr>
          <w:rFonts w:ascii="Arial" w:cs="Arial" w:eastAsia="Arial" w:hAnsi="Arial"/>
          <w:sz w:val="22"/>
          <w:szCs w:val="22"/>
          <w:color w:val="auto"/>
        </w:rPr>
        <w:t>means a Change in Control that is not a Section 409A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w:t>
      </w:r>
    </w:p>
    <w:p>
      <w:pPr>
        <w:spacing w:after="0" w:line="153" w:lineRule="exact"/>
        <w:rPr>
          <w:sz w:val="20"/>
          <w:szCs w:val="20"/>
          <w:color w:val="auto"/>
        </w:rPr>
      </w:pPr>
    </w:p>
    <w:p>
      <w:pPr>
        <w:ind w:left="480" w:right="220" w:firstLine="648"/>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51" w:lineRule="exact"/>
        <w:rPr>
          <w:sz w:val="20"/>
          <w:szCs w:val="20"/>
          <w:color w:val="auto"/>
        </w:rPr>
      </w:pPr>
    </w:p>
    <w:p>
      <w:pPr>
        <w:ind w:left="1120" w:firstLine="652"/>
        <w:spacing w:after="0" w:line="232" w:lineRule="auto"/>
        <w:tabs>
          <w:tab w:leader="none" w:pos="2413"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120" w:right="20" w:firstLine="652"/>
        <w:spacing w:after="0" w:line="232" w:lineRule="auto"/>
        <w:tabs>
          <w:tab w:leader="none" w:pos="2411"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ind w:left="480" w:right="1000"/>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191" w:lineRule="exact"/>
        <w:rPr>
          <w:sz w:val="20"/>
          <w:szCs w:val="20"/>
          <w:color w:val="auto"/>
        </w:rPr>
      </w:pPr>
    </w:p>
    <w:p>
      <w:pPr>
        <w:ind w:left="480" w:right="20" w:firstLine="648"/>
        <w:spacing w:after="0" w:line="305"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93" w:lineRule="exact"/>
        <w:rPr>
          <w:sz w:val="20"/>
          <w:szCs w:val="20"/>
          <w:color w:val="auto"/>
        </w:rPr>
      </w:pPr>
    </w:p>
    <w:p>
      <w:pPr>
        <w:ind w:left="480" w:right="20" w:firstLine="648"/>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401" w:right="339" w:bottom="1440" w:gutter="0" w:footer="0" w:header="0"/>
        </w:sectPr>
      </w:pPr>
    </w:p>
    <w:bookmarkStart w:id="30" w:name="page31"/>
    <w:bookmarkEnd w:id="30"/>
    <w:p>
      <w:pPr>
        <w:jc w:val="both"/>
        <w:ind w:left="-180" w:firstLine="1304"/>
        <w:spacing w:after="0" w:line="223" w:lineRule="auto"/>
        <w:tabs>
          <w:tab w:leader="none" w:pos="1764"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 xml:space="preserve">Payment of Award Under Section 3. </w:t>
      </w:r>
      <w:r>
        <w:rPr>
          <w:rFonts w:ascii="Arial" w:cs="Arial" w:eastAsia="Arial" w:hAnsi="Arial"/>
          <w:sz w:val="21"/>
          <w:szCs w:val="21"/>
          <w:color w:val="auto"/>
        </w:rPr>
        <w:t>Upon the vesting of the Participant’s right to receive the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pursuant to Section 3 of this RSU Award Agreement, a number of shares of Common Stock equal to the number of vested units of Common Stock under this RSU Award Agreement shall be distributed not later than 70 days after the applicable vesting dates. Moreover, upon the date of distribution of shares of Common Stock in settlement of such units, the Participant shall also be entitled to receive Dividend Equivalents on such shares of Common Stock for the period from the Grant Date to the date such shares of Common Stock are distributed to the Participant (in accordance with the requirements of Section 409A of the Code, to the extent applicable).</w:t>
      </w:r>
    </w:p>
    <w:p>
      <w:pPr>
        <w:spacing w:after="0" w:line="157" w:lineRule="exact"/>
        <w:rPr>
          <w:rFonts w:ascii="Arial" w:cs="Arial" w:eastAsia="Arial" w:hAnsi="Arial"/>
          <w:sz w:val="21"/>
          <w:szCs w:val="21"/>
          <w:color w:val="auto"/>
        </w:rPr>
      </w:pPr>
    </w:p>
    <w:p>
      <w:pPr>
        <w:jc w:val="both"/>
        <w:ind w:left="-180" w:firstLine="1304"/>
        <w:spacing w:after="0" w:line="225" w:lineRule="auto"/>
        <w:tabs>
          <w:tab w:leader="none" w:pos="1764"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 xml:space="preserve">Confidentiality. </w:t>
      </w:r>
      <w:r>
        <w:rPr>
          <w:rFonts w:ascii="Arial" w:cs="Arial" w:eastAsia="Arial" w:hAnsi="Arial"/>
          <w:sz w:val="21"/>
          <w:szCs w:val="21"/>
          <w:color w:val="auto"/>
        </w:rPr>
        <w:t>The Participant agrees that the terms of this RSU Award Agreement are confidential and</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RSU Award Agreement and the Company may elect to revoke the grant made hereunder, seek damages, plus interest and reasonable attorneys’ fees, and take any other lawful actions to enforce this RSU Award Agreement.</w:t>
      </w:r>
    </w:p>
    <w:p>
      <w:pPr>
        <w:spacing w:after="0" w:line="153" w:lineRule="exact"/>
        <w:rPr>
          <w:rFonts w:ascii="Arial" w:cs="Arial" w:eastAsia="Arial" w:hAnsi="Arial"/>
          <w:sz w:val="21"/>
          <w:szCs w:val="21"/>
          <w:color w:val="auto"/>
        </w:rPr>
      </w:pPr>
    </w:p>
    <w:p>
      <w:pPr>
        <w:ind w:left="1780" w:hanging="656"/>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Participant Obligations.</w:t>
      </w:r>
    </w:p>
    <w:p>
      <w:pPr>
        <w:spacing w:after="0" w:line="185" w:lineRule="exact"/>
        <w:rPr>
          <w:sz w:val="20"/>
          <w:szCs w:val="20"/>
          <w:color w:val="auto"/>
        </w:rPr>
      </w:pPr>
    </w:p>
    <w:p>
      <w:pPr>
        <w:jc w:val="both"/>
        <w:ind w:left="480" w:firstLine="644"/>
        <w:spacing w:after="0"/>
        <w:tabs>
          <w:tab w:leader="none" w:pos="1773"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 this and other consideration, provided under this RSU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RSU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RSU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RSU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RSU Award Agreement. By way of illustration, but not limitation, Confidential Information includes business trade secrets, secrets concerning the Company’s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395" w:right="339" w:bottom="1440" w:gutter="0" w:footer="0" w:header="0"/>
        </w:sectPr>
      </w:pPr>
    </w:p>
    <w:bookmarkStart w:id="31" w:name="page32"/>
    <w:bookmarkEnd w:id="31"/>
    <w:p>
      <w:pPr>
        <w:jc w:val="both"/>
        <w:ind w:left="480"/>
        <w:spacing w:after="0" w:line="257" w:lineRule="auto"/>
        <w:rPr>
          <w:sz w:val="20"/>
          <w:szCs w:val="20"/>
          <w:color w:val="auto"/>
        </w:rPr>
      </w:pPr>
      <w:r>
        <w:rPr>
          <w:rFonts w:ascii="Arial" w:cs="Arial" w:eastAsia="Arial" w:hAnsi="Arial"/>
          <w:sz w:val="19"/>
          <w:szCs w:val="19"/>
          <w:color w:val="auto"/>
        </w:rPr>
        <w:t>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44" w:lineRule="exact"/>
        <w:rPr>
          <w:sz w:val="20"/>
          <w:szCs w:val="20"/>
          <w:color w:val="auto"/>
        </w:rPr>
      </w:pPr>
    </w:p>
    <w:p>
      <w:pPr>
        <w:jc w:val="both"/>
        <w:ind w:left="480" w:firstLine="644"/>
        <w:spacing w:after="0" w:line="249" w:lineRule="auto"/>
        <w:tabs>
          <w:tab w:leader="none" w:pos="177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1" w:lineRule="exact"/>
        <w:rPr>
          <w:rFonts w:ascii="Arial" w:cs="Arial" w:eastAsia="Arial" w:hAnsi="Arial"/>
          <w:sz w:val="19"/>
          <w:szCs w:val="19"/>
          <w:color w:val="auto"/>
        </w:rPr>
      </w:pPr>
    </w:p>
    <w:p>
      <w:pPr>
        <w:ind w:left="1760" w:hanging="636"/>
        <w:spacing w:after="0"/>
        <w:tabs>
          <w:tab w:leader="none" w:pos="17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20" w:firstLine="652"/>
        <w:spacing w:after="0" w:line="221" w:lineRule="auto"/>
        <w:tabs>
          <w:tab w:leader="none" w:pos="2411" w:val="left"/>
        </w:tabs>
        <w:numPr>
          <w:ilvl w:val="1"/>
          <w:numId w:val="68"/>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RSU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7(a))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the Participant had any actual contact while employed at the Company.</w:t>
      </w:r>
    </w:p>
    <w:p>
      <w:pPr>
        <w:spacing w:after="0" w:line="158" w:lineRule="exact"/>
        <w:rPr>
          <w:rFonts w:ascii="Arial" w:cs="Arial" w:eastAsia="Arial" w:hAnsi="Arial"/>
          <w:sz w:val="21"/>
          <w:szCs w:val="21"/>
          <w:color w:val="auto"/>
        </w:rPr>
      </w:pPr>
    </w:p>
    <w:p>
      <w:pPr>
        <w:jc w:val="both"/>
        <w:ind w:left="1120" w:firstLine="652"/>
        <w:spacing w:after="0" w:line="211" w:lineRule="auto"/>
        <w:tabs>
          <w:tab w:leader="none" w:pos="2411" w:val="left"/>
        </w:tabs>
        <w:numPr>
          <w:ilvl w:val="1"/>
          <w:numId w:val="68"/>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RSU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120" w:firstLine="652"/>
        <w:spacing w:after="0" w:line="268" w:lineRule="auto"/>
        <w:tabs>
          <w:tab w:leader="none" w:pos="2411" w:val="left"/>
        </w:tabs>
        <w:numPr>
          <w:ilvl w:val="1"/>
          <w:numId w:val="68"/>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7(c)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ind w:left="480" w:firstLine="644"/>
        <w:spacing w:after="0" w:line="298" w:lineRule="auto"/>
        <w:tabs>
          <w:tab w:leader="none" w:pos="177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7, for which the Participant received valuable consideration from the Company as provided in this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401" w:right="339" w:bottom="1440" w:gutter="0" w:footer="0" w:header="0"/>
        </w:sectPr>
      </w:pPr>
    </w:p>
    <w:bookmarkStart w:id="32" w:name="page33"/>
    <w:bookmarkEnd w:id="32"/>
    <w:p>
      <w:pPr>
        <w:jc w:val="both"/>
        <w:ind w:left="660"/>
        <w:spacing w:after="0" w:line="246" w:lineRule="auto"/>
        <w:rPr>
          <w:sz w:val="20"/>
          <w:szCs w:val="20"/>
          <w:color w:val="auto"/>
        </w:rPr>
      </w:pPr>
      <w:r>
        <w:rPr>
          <w:rFonts w:ascii="Arial" w:cs="Arial" w:eastAsia="Arial" w:hAnsi="Arial"/>
          <w:sz w:val="19"/>
          <w:szCs w:val="19"/>
          <w:color w:val="auto"/>
        </w:rPr>
        <w:t>including, but not limited to the Company’s agreement to provide the Participant with Confidential Information regarding the Company and the Company’s business are ancillary to otherwise enforceable provisions of this RSU Award Agreement that the consideration provided by the Company gives rise to the Company’s interest in restraining the Participant from competing and that the restrictive covenants are designed to enforce the Participant’s consideration or return promises under this RSU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2" w:lineRule="exact"/>
        <w:rPr>
          <w:sz w:val="20"/>
          <w:szCs w:val="20"/>
          <w:color w:val="auto"/>
        </w:rPr>
      </w:pPr>
    </w:p>
    <w:p>
      <w:pPr>
        <w:jc w:val="both"/>
        <w:ind w:left="660" w:firstLine="644"/>
        <w:spacing w:after="0" w:line="246" w:lineRule="auto"/>
        <w:tabs>
          <w:tab w:leader="none" w:pos="195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7, the Participant shall not be entitled to receive any amounts that would otherwise be payable to the Participant with respect to this RSU Award, and such amounts shall be forfeited. If the Participant violates any provision of this Section 7 after amounts under this RSU Award have been paid or if the Company learns of the violation after amounts under this RSU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7.</w:t>
      </w:r>
    </w:p>
    <w:p>
      <w:pPr>
        <w:spacing w:after="0" w:line="146" w:lineRule="exact"/>
        <w:rPr>
          <w:sz w:val="20"/>
          <w:szCs w:val="20"/>
          <w:color w:val="auto"/>
        </w:rPr>
      </w:pPr>
    </w:p>
    <w:p>
      <w:pPr>
        <w:jc w:val="both"/>
        <w:ind w:firstLine="1304"/>
        <w:spacing w:after="0" w:line="236" w:lineRule="auto"/>
        <w:tabs>
          <w:tab w:leader="none" w:pos="1944" w:val="left"/>
        </w:tabs>
        <w:numPr>
          <w:ilvl w:val="0"/>
          <w:numId w:val="70"/>
        </w:numPr>
        <w:rPr>
          <w:rFonts w:ascii="Arial" w:cs="Arial" w:eastAsia="Arial" w:hAnsi="Arial"/>
          <w:sz w:val="21"/>
          <w:szCs w:val="2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For purposes of this RSU Award Agreement, notices to the Company shall be deemed to have</w:t>
      </w:r>
      <w:r>
        <w:rPr>
          <w:rFonts w:ascii="Arial" w:cs="Arial" w:eastAsia="Arial" w:hAnsi="Arial"/>
          <w:sz w:val="21"/>
          <w:szCs w:val="21"/>
          <w:b w:val="1"/>
          <w:bCs w:val="1"/>
          <w:color w:val="auto"/>
        </w:rPr>
        <w:t xml:space="preserve"> </w:t>
      </w:r>
      <w:r>
        <w:rPr>
          <w:rFonts w:ascii="Arial" w:cs="Arial" w:eastAsia="Arial" w:hAnsi="Arial"/>
          <w:sz w:val="21"/>
          <w:szCs w:val="21"/>
          <w:color w:val="auto"/>
        </w:rPr>
        <w:t>been duly given upon receipt of written notice by the Corporate Secretary of CenterPoint Energy, Inc., 1111 Louisiana, Houston, Texas 77002, or to such other address as the Company may furnish to the Participant.</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155" w:lineRule="exact"/>
        <w:rPr>
          <w:sz w:val="20"/>
          <w:szCs w:val="20"/>
          <w:color w:val="auto"/>
        </w:rPr>
      </w:pPr>
    </w:p>
    <w:p>
      <w:pPr>
        <w:jc w:val="both"/>
        <w:ind w:firstLine="1304"/>
        <w:spacing w:after="0" w:line="225" w:lineRule="auto"/>
        <w:tabs>
          <w:tab w:leader="none" w:pos="1944"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granted pursuant to this RSU Award, unless and until the Participant is registered as the holder of such shares of Common Stock.</w:t>
      </w:r>
    </w:p>
    <w:p>
      <w:pPr>
        <w:spacing w:after="0" w:line="152" w:lineRule="exact"/>
        <w:rPr>
          <w:rFonts w:ascii="Arial" w:cs="Arial" w:eastAsia="Arial" w:hAnsi="Arial"/>
          <w:sz w:val="22"/>
          <w:szCs w:val="22"/>
          <w:color w:val="auto"/>
        </w:rPr>
      </w:pPr>
    </w:p>
    <w:p>
      <w:pPr>
        <w:jc w:val="both"/>
        <w:ind w:firstLine="1304"/>
        <w:spacing w:after="0" w:line="217" w:lineRule="auto"/>
        <w:tabs>
          <w:tab w:leader="none" w:pos="1944"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RSU Award Agreement shall bind and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Participant, the Company and their respective permitted successors and assigns except as expressly prohibited herein and in the Plan. Notwithstanding anything herein or in the Plan to the contrary, the shares of Common Stock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color w:val="auto"/>
        </w:rPr>
      </w:pPr>
    </w:p>
    <w:p>
      <w:pPr>
        <w:jc w:val="both"/>
        <w:ind w:firstLine="1304"/>
        <w:spacing w:after="0" w:line="271" w:lineRule="auto"/>
        <w:tabs>
          <w:tab w:leader="none" w:pos="1936"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RSU Award Agreement shall give the Participant any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to (or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33" w:name="page34"/>
    <w:bookmarkEnd w:id="33"/>
    <w:p>
      <w:pPr>
        <w:ind w:left="-180" w:right="200" w:firstLine="1304"/>
        <w:spacing w:after="0" w:line="220" w:lineRule="auto"/>
        <w:tabs>
          <w:tab w:leader="none" w:pos="1764"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color w:val="auto"/>
        </w:rPr>
      </w:pPr>
    </w:p>
    <w:p>
      <w:pPr>
        <w:jc w:val="both"/>
        <w:ind w:left="-180" w:firstLine="1304"/>
        <w:spacing w:after="0" w:line="217" w:lineRule="auto"/>
        <w:tabs>
          <w:tab w:leader="none" w:pos="1764"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of the Code and will be interpreted and administered consistent therewith. Accordingly, (i) no adjustment to the RSU Award pursuant to Section 14 of the Plan and (ii) no substitutions of the benefits under this Award Agreement, in each case, shall be made in a manner that results in noncompliance with the requirements of Section 409A of the Code, to the extent applicable.</w:t>
      </w:r>
    </w:p>
    <w:p>
      <w:pPr>
        <w:spacing w:after="0" w:line="152" w:lineRule="exact"/>
        <w:rPr>
          <w:rFonts w:ascii="Arial" w:cs="Arial" w:eastAsia="Arial" w:hAnsi="Arial"/>
          <w:sz w:val="22"/>
          <w:szCs w:val="22"/>
          <w:color w:val="auto"/>
        </w:rPr>
      </w:pPr>
    </w:p>
    <w:p>
      <w:pPr>
        <w:ind w:left="-180" w:firstLine="1304"/>
        <w:spacing w:after="0" w:line="305" w:lineRule="auto"/>
        <w:tabs>
          <w:tab w:leader="none" w:pos="1764"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 xml:space="preserve">Modification of RSU Award Agreement. </w:t>
      </w:r>
      <w:r>
        <w:rPr>
          <w:rFonts w:ascii="Arial" w:cs="Arial" w:eastAsia="Arial" w:hAnsi="Arial"/>
          <w:sz w:val="19"/>
          <w:szCs w:val="19"/>
          <w:color w:val="auto"/>
        </w:rPr>
        <w:t>Any modification of this RSU Award Agreement is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13 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500" w:top="139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auto"/>
        </w:rPr>
        <w:t>CENTERPOINT ENERGY, INC.</w:t>
      </w:r>
    </w:p>
    <w:p>
      <w:pPr>
        <w:jc w:val="center"/>
        <w:spacing w:after="0" w:line="207" w:lineRule="auto"/>
        <w:rPr>
          <w:sz w:val="20"/>
          <w:szCs w:val="20"/>
          <w:color w:val="auto"/>
        </w:rPr>
      </w:pPr>
      <w:r>
        <w:rPr>
          <w:rFonts w:ascii="Arial" w:cs="Arial" w:eastAsia="Arial" w:hAnsi="Arial"/>
          <w:sz w:val="25"/>
          <w:szCs w:val="25"/>
          <w:b w:val="1"/>
          <w:bCs w:val="1"/>
          <w:color w:val="auto"/>
        </w:rPr>
        <w:t>2022 LONG TERM INCENTIVE PLAN</w:t>
      </w:r>
    </w:p>
    <w:p>
      <w:pPr>
        <w:jc w:val="center"/>
        <w:spacing w:after="0" w:line="217" w:lineRule="auto"/>
        <w:rPr>
          <w:sz w:val="20"/>
          <w:szCs w:val="20"/>
          <w:color w:val="auto"/>
        </w:rPr>
      </w:pPr>
      <w:r>
        <w:rPr>
          <w:rFonts w:ascii="Arial" w:cs="Arial" w:eastAsia="Arial" w:hAnsi="Arial"/>
          <w:sz w:val="22"/>
          <w:szCs w:val="22"/>
          <w:b w:val="1"/>
          <w:bCs w:val="1"/>
          <w:color w:val="auto"/>
        </w:rPr>
        <w:t>FORM OF RESTRICTED STOCK UNIT AWARD AGREEMENT FOR THE CHIEF EXECUTIVE OFFICER (with Performance Goals)</w:t>
      </w:r>
    </w:p>
    <w:p>
      <w:pPr>
        <w:spacing w:after="0" w:line="181"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Pursuant to this Restricted Stock Unit Award Agreement (“Award Agreement”), </w:t>
      </w:r>
      <w:r>
        <w:rPr>
          <w:rFonts w:ascii="Arial" w:cs="Arial" w:eastAsia="Arial" w:hAnsi="Arial"/>
          <w:sz w:val="22"/>
          <w:szCs w:val="22"/>
          <w:b w:val="1"/>
          <w:bCs w:val="1"/>
          <w:color w:val="auto"/>
        </w:rPr>
        <w:t>CenterPoint Energy, Inc.</w:t>
      </w:r>
      <w:r>
        <w:rPr>
          <w:rFonts w:ascii="Arial" w:cs="Arial" w:eastAsia="Arial" w:hAnsi="Arial"/>
          <w:sz w:val="22"/>
          <w:szCs w:val="22"/>
          <w:color w:val="auto"/>
        </w:rPr>
        <w:t xml:space="preserve"> (the “Company”) hereby grants to &lt;first_name&gt; &lt;last_name&gt;, an employee of the Company, on &lt;award_date&gt; (the “Award Date”), a restricted stock unit award of &lt;shares_awarded&gt; units of Common Stock of the Company (the “RSU Award”) pursuant to the </w:t>
      </w:r>
      <w:r>
        <w:rPr>
          <w:rFonts w:ascii="Arial" w:cs="Arial" w:eastAsia="Arial" w:hAnsi="Arial"/>
          <w:sz w:val="22"/>
          <w:szCs w:val="22"/>
          <w:b w:val="1"/>
          <w:bCs w:val="1"/>
          <w:color w:val="auto"/>
        </w:rPr>
        <w:t xml:space="preserve">CenterPoint Energy, Inc. 2022 Long Term Incentive Plan </w:t>
      </w:r>
      <w:r>
        <w:rPr>
          <w:rFonts w:ascii="Arial" w:cs="Arial" w:eastAsia="Arial" w:hAnsi="Arial"/>
          <w:sz w:val="22"/>
          <w:szCs w:val="22"/>
          <w:color w:val="auto"/>
        </w:rPr>
        <w:t>(the “Plan”), conditioned upon the Company’s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established by the Committee and subject to the terms, conditions and restrictions described in the Plan and as follows:</w:t>
      </w:r>
    </w:p>
    <w:p>
      <w:pPr>
        <w:spacing w:after="0" w:line="152" w:lineRule="exact"/>
        <w:rPr>
          <w:sz w:val="20"/>
          <w:szCs w:val="20"/>
          <w:color w:val="auto"/>
        </w:rPr>
      </w:pPr>
    </w:p>
    <w:p>
      <w:pPr>
        <w:jc w:val="both"/>
        <w:ind w:firstLine="1304"/>
        <w:spacing w:after="0" w:line="248" w:lineRule="auto"/>
        <w:tabs>
          <w:tab w:leader="none" w:pos="1944"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the Plan; Definitions. </w:t>
      </w:r>
      <w:r>
        <w:rPr>
          <w:rFonts w:ascii="Arial" w:cs="Arial" w:eastAsia="Arial" w:hAnsi="Arial"/>
          <w:sz w:val="19"/>
          <w:szCs w:val="19"/>
          <w:color w:val="auto"/>
        </w:rPr>
        <w:t>This RSU Award is subject to all of the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 effect on the date hereof and administrative interpretations thereunder, if any, adopted by the Committee.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“Award Date” </w:t>
      </w:r>
      <w:r>
        <w:rPr>
          <w:rFonts w:ascii="Arial" w:cs="Arial" w:eastAsia="Arial" w:hAnsi="Arial"/>
          <w:sz w:val="19"/>
          <w:szCs w:val="19"/>
          <w:color w:val="auto"/>
        </w:rPr>
        <w:t>means the date this RSU Award is granted to the Participant as specified in this Award Agreement.</w:t>
      </w:r>
    </w:p>
    <w:p>
      <w:pPr>
        <w:spacing w:after="0" w:line="21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the Participant's (a) gross negligence in the performance of his or her duties, (b) intentional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Closing Date” </w:t>
      </w:r>
      <w:r>
        <w:rPr>
          <w:rFonts w:ascii="Arial" w:cs="Arial" w:eastAsia="Arial" w:hAnsi="Arial"/>
          <w:sz w:val="22"/>
          <w:szCs w:val="22"/>
          <w:color w:val="auto"/>
        </w:rPr>
        <w:t>means the date a Change in Control is consummated.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185" w:lineRule="exact"/>
        <w:rPr>
          <w:sz w:val="20"/>
          <w:szCs w:val="20"/>
          <w:color w:val="auto"/>
        </w:rPr>
      </w:pPr>
    </w:p>
    <w:p>
      <w:pPr>
        <w:ind w:left="1300" w:firstLine="652"/>
        <w:spacing w:after="0" w:line="247" w:lineRule="auto"/>
        <w:tabs>
          <w:tab w:leader="none" w:pos="2593"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the Change in Control is a Section 409A Change in Control, then the Change in Control Payment Date shall be not later than the 70th day after the Change in Control Closing Date; and</w:t>
      </w:r>
    </w:p>
    <w:p>
      <w:pPr>
        <w:spacing w:after="0" w:line="150" w:lineRule="exact"/>
        <w:rPr>
          <w:rFonts w:ascii="Arial" w:cs="Arial" w:eastAsia="Arial" w:hAnsi="Arial"/>
          <w:sz w:val="21"/>
          <w:szCs w:val="21"/>
          <w:color w:val="auto"/>
        </w:rPr>
      </w:pPr>
    </w:p>
    <w:p>
      <w:pPr>
        <w:jc w:val="both"/>
        <w:ind w:left="1300" w:firstLine="652"/>
        <w:spacing w:after="0" w:line="216" w:lineRule="auto"/>
        <w:tabs>
          <w:tab w:leader="none" w:pos="2591"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the Change in Control is a Non-Section 409A Change in Control, then the Change in Control Payment Date shall be the Vesting Date(s) on which the units are paid under Section 3 hereof for the number of units indicated in Section 3 assuming continuous Employment by the Participant as of such Vesting Date(s); provided, however, in the case of the Participant’s death or Separation from Service prior to the Vesting Date(s), all shares not previously</w:t>
      </w:r>
    </w:p>
    <w:p>
      <w:pPr>
        <w:sectPr>
          <w:pgSz w:w="11900" w:h="16838" w:orient="portrait"/>
          <w:cols w:equalWidth="0" w:num="1">
            <w:col w:w="11240"/>
          </w:cols>
          <w:pgMar w:left="320" w:top="1234" w:right="339" w:bottom="1440" w:gutter="0" w:footer="0" w:header="0"/>
        </w:sectPr>
      </w:pPr>
    </w:p>
    <w:bookmarkStart w:id="35" w:name="page36"/>
    <w:bookmarkEnd w:id="35"/>
    <w:p>
      <w:pPr>
        <w:ind w:left="1300" w:right="20"/>
        <w:spacing w:after="0" w:line="232" w:lineRule="auto"/>
        <w:rPr>
          <w:sz w:val="20"/>
          <w:szCs w:val="20"/>
          <w:color w:val="auto"/>
        </w:rPr>
      </w:pPr>
      <w:r>
        <w:rPr>
          <w:rFonts w:ascii="Arial" w:cs="Arial" w:eastAsia="Arial" w:hAnsi="Arial"/>
          <w:sz w:val="22"/>
          <w:szCs w:val="22"/>
          <w:color w:val="auto"/>
        </w:rPr>
        <w:t>paid shall be paid not later than the 70th day after the Participant’s Termination Date except as otherwise provided in Section 7.</w:t>
      </w:r>
    </w:p>
    <w:p>
      <w:pPr>
        <w:spacing w:after="0" w:line="15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600" w:hanging="648"/>
        <w:spacing w:after="0"/>
        <w:tabs>
          <w:tab w:leader="none" w:pos="26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both eligible for and in receipt of benefits under the Company's long-term disability plan.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300" w:firstLine="652"/>
        <w:spacing w:after="0" w:line="223" w:lineRule="auto"/>
        <w:tabs>
          <w:tab w:leader="none" w:pos="259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300" w:firstLine="652"/>
        <w:spacing w:after="0" w:line="214" w:lineRule="auto"/>
        <w:tabs>
          <w:tab w:leader="none" w:pos="259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(d);</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59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jc w:val="both"/>
        <w:ind w:left="1300" w:firstLine="652"/>
        <w:spacing w:after="0" w:line="223" w:lineRule="auto"/>
        <w:tabs>
          <w:tab w:leader="none" w:pos="259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 the Participant was principally employed immediately prior to the date on which a Change in Control occurs;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36" w:name="page37"/>
    <w:bookmarkEnd w:id="36"/>
    <w:p>
      <w:pPr>
        <w:jc w:val="both"/>
        <w:ind w:left="1300" w:firstLine="652"/>
        <w:spacing w:after="0" w:line="223" w:lineRule="auto"/>
        <w:tabs>
          <w:tab w:leader="none" w:pos="259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“Non-Section 409A Change in Control” </w:t>
      </w:r>
      <w:r>
        <w:rPr>
          <w:rFonts w:ascii="Arial" w:cs="Arial" w:eastAsia="Arial" w:hAnsi="Arial"/>
          <w:sz w:val="19"/>
          <w:szCs w:val="19"/>
          <w:color w:val="auto"/>
        </w:rPr>
        <w:t>means a Change in Control that is not a Section 409A Change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“Performance Goals” </w:t>
      </w:r>
      <w:r>
        <w:rPr>
          <w:rFonts w:ascii="Arial" w:cs="Arial" w:eastAsia="Arial" w:hAnsi="Arial"/>
          <w:sz w:val="22"/>
          <w:szCs w:val="22"/>
          <w:color w:val="auto"/>
        </w:rPr>
        <w:t>means the standards established by the Committee to determine in whole or in part</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the units of Common Stock under the RSU Award shall vest, which are specified in a separate document provided with this Award Agreement and made a part hereof for all purposes.</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means a Separation from Service with at least three years of Employment;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Separation from Service is not by the Company for Cause or due to Disability.</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159" w:lineRule="exact"/>
        <w:rPr>
          <w:sz w:val="20"/>
          <w:szCs w:val="20"/>
          <w:color w:val="auto"/>
        </w:rPr>
      </w:pPr>
    </w:p>
    <w:p>
      <w:pPr>
        <w:ind w:left="1300" w:firstLine="652"/>
        <w:spacing w:after="0" w:line="232" w:lineRule="auto"/>
        <w:tabs>
          <w:tab w:leader="none" w:pos="2593"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191" w:lineRule="exact"/>
        <w:rPr>
          <w:sz w:val="20"/>
          <w:szCs w:val="20"/>
          <w:color w:val="auto"/>
        </w:rPr>
      </w:pPr>
    </w:p>
    <w:p>
      <w:pPr>
        <w:ind w:right="20" w:firstLine="1296"/>
        <w:spacing w:after="0" w:line="305"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93"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means the date of the Participant's Separation from Service.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means one or more vesting dates as specified in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37" w:name="page38"/>
    <w:bookmarkEnd w:id="37"/>
    <w:p>
      <w:pPr>
        <w:jc w:val="both"/>
        <w:ind w:firstLine="1304"/>
        <w:spacing w:after="0" w:line="246" w:lineRule="auto"/>
        <w:tabs>
          <w:tab w:leader="none" w:pos="194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of RSU Award Account. </w:t>
      </w:r>
      <w:r>
        <w:rPr>
          <w:rFonts w:ascii="Arial" w:cs="Arial" w:eastAsia="Arial" w:hAnsi="Arial"/>
          <w:sz w:val="19"/>
          <w:szCs w:val="19"/>
          <w:color w:val="auto"/>
        </w:rPr>
        <w:t>The grant of units of Common Stock of the Company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Award Agreement shall be implemented by a credit to a bookkeeping account maintained by the Company evidencing the accrual in favor of the Participant of the unfunded and unsecured right to receive a corresponding number of shares of Common Stock, which right shall be subject to the terms, conditions and restrictions set forth in the Plan and to the further terms, conditions and restrictions set forth in this Award Agreement. Except as otherwise provided in Section 12 of this Award Agreement, the units of Common Stock credited to the Participant's bookkeeping account may not be sold, assigned, transferred, pledged or otherwise encumbered until the Participant has been registered as the holder of shares of Common Stock on the records of the Company, as provided in Sections 4, 5, 6, or 7 of this Award Agreement.</w:t>
      </w:r>
    </w:p>
    <w:p>
      <w:pPr>
        <w:spacing w:after="0" w:line="152"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RSU Award. </w:t>
      </w:r>
      <w:r>
        <w:rPr>
          <w:rFonts w:ascii="Arial" w:cs="Arial" w:eastAsia="Arial" w:hAnsi="Arial"/>
          <w:sz w:val="22"/>
          <w:szCs w:val="22"/>
          <w:color w:val="auto"/>
        </w:rPr>
        <w:t>Unless earlier vested or forfeited pursuant to this Section 3 or Section 4 or 5</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Participant's right to receive shares of Common Stock under this Award Agreement, if any, shall vest with respect to the number of units and on the Vesting Date(s) as shown in the following schedule, conditioned upon achievement of the applicable Performance Goals: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&lt;vesting_schedule&gt;</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No later than 60 days after each Vesting Date, the Committee shall determine the extent to which the applicable Performance Goals have been achieved. Upon completing its determination of the level at which the Performance Goals have been achieved, the Committee shall notify the Participant, in the form and manner as determined by the Committee, of the number of shares of Common Stock (if any) under this Award Agreement that will be issued to the Participant pursuant to Section 6. Except as provided in Sections 4 and 5 below, the Participant must be in continuous Employment during the period beginning on the Award Date and ending on the Vesting Date(s) in order for the units (as indicated above) of the RSU Award to vest on such Vesting Date(s); otherwise, all unvested units shall be forfeited as of the Participant's Termination Date.</w:t>
      </w:r>
    </w:p>
    <w:p>
      <w:pPr>
        <w:spacing w:after="0" w:line="148" w:lineRule="exact"/>
        <w:rPr>
          <w:sz w:val="20"/>
          <w:szCs w:val="20"/>
          <w:color w:val="auto"/>
        </w:rPr>
      </w:pPr>
    </w:p>
    <w:p>
      <w:pPr>
        <w:ind w:left="1960" w:hanging="656"/>
        <w:spacing w:after="0"/>
        <w:tabs>
          <w:tab w:leader="none" w:pos="19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Separation from Service; Timing of Distribution.</w:t>
      </w:r>
    </w:p>
    <w:p>
      <w:pPr>
        <w:spacing w:after="0" w:line="185" w:lineRule="exact"/>
        <w:rPr>
          <w:sz w:val="20"/>
          <w:szCs w:val="20"/>
          <w:color w:val="auto"/>
        </w:rPr>
      </w:pPr>
    </w:p>
    <w:p>
      <w:pPr>
        <w:ind w:left="1940" w:hanging="636"/>
        <w:spacing w:after="0"/>
        <w:tabs>
          <w:tab w:leader="none" w:pos="194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Notwithstanding Section 3 above, if the Participant’s Termination Date occurs prior to</w:t>
      </w:r>
    </w:p>
    <w:p>
      <w:pPr>
        <w:spacing w:after="0" w:line="15" w:lineRule="exact"/>
        <w:rPr>
          <w:rFonts w:ascii="Arial" w:cs="Arial" w:eastAsia="Arial" w:hAnsi="Arial"/>
          <w:sz w:val="19"/>
          <w:szCs w:val="19"/>
          <w:color w:val="auto"/>
        </w:rPr>
      </w:pPr>
    </w:p>
    <w:p>
      <w:pPr>
        <w:jc w:val="both"/>
        <w:ind w:left="660" w:hanging="4"/>
        <w:spacing w:after="0" w:line="224" w:lineRule="auto"/>
        <w:tabs>
          <w:tab w:leader="none" w:pos="927"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final Vesting Date and (ii) the occurrence of a vesting event described in Section 5(b), 5(c), or 5(d) (in connection with a Change in Control or a Sale of a Subsidiary), and is due to the Participant’s death or Separation from Service due to Disability, then, without regard to the Performance Goals, the Participant shall vest in the right to receive the total number of unvested units of Common Stock subject to this Award Agreement.</w:t>
      </w:r>
    </w:p>
    <w:p>
      <w:pPr>
        <w:spacing w:after="0" w:line="160" w:lineRule="exact"/>
        <w:rPr>
          <w:rFonts w:ascii="Arial" w:cs="Arial" w:eastAsia="Arial" w:hAnsi="Arial"/>
          <w:sz w:val="21"/>
          <w:szCs w:val="21"/>
          <w:color w:val="auto"/>
        </w:rPr>
      </w:pPr>
    </w:p>
    <w:p>
      <w:pPr>
        <w:jc w:val="both"/>
        <w:ind w:left="660" w:firstLine="644"/>
        <w:spacing w:after="0" w:line="244" w:lineRule="auto"/>
        <w:tabs>
          <w:tab w:leader="none" w:pos="1951"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Notwithstanding Section 3 above, if the Participant's Termination Date occurs prior to (i) the final Vesting Date and (ii) the occurrence of a vesting event described in Section 5(b), 5(c), or 5(d) (in connection with a Change in Control or a Sale of a Subsidiary), and is due to the Participant's Separation from Service due to Retirement, then the Participant shall vest in the right to receive a number, if any, of the shares of Common Stock (rounded up to the nearest whole share) with respect to the unvested portion of this RSU Award determined by multiplying (A) the total number of units of Common Stock covered by this RSU Award based upon the Committee’s determination of the achievement of the Performance Goals as provided in Section 3 by (B) a fraction, the numerator of which is the number of days that have elapsed from the Award Date to the Participant's Termination Date, and the denominator of which is the total number of days from the Award Date until the final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0" w:right="339" w:bottom="1440" w:gutter="0" w:footer="0" w:header="0"/>
        </w:sectPr>
      </w:pPr>
    </w:p>
    <w:bookmarkStart w:id="38" w:name="page39"/>
    <w:bookmarkEnd w:id="38"/>
    <w:p>
      <w:pPr>
        <w:jc w:val="both"/>
        <w:ind w:left="480" w:firstLine="644"/>
        <w:spacing w:after="0" w:line="216" w:lineRule="auto"/>
        <w:tabs>
          <w:tab w:leader="none" w:pos="177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Enhanced Retirement</w:t>
      </w:r>
      <w:r>
        <w:rPr>
          <w:rFonts w:ascii="Arial" w:cs="Arial" w:eastAsia="Arial" w:hAnsi="Arial"/>
          <w:sz w:val="22"/>
          <w:szCs w:val="22"/>
          <w:color w:val="auto"/>
        </w:rPr>
        <w:t>. If the Participant is otherwise entitled to a benefit pursuant to Section 4(b) hereof due to the Participant’s Retirement and all of the following requirements are satisfied, then in lieu of the benefits set forth in Section 4(b), the Participant shall vest in the right to receive the total number, if any, of unvested units of Common Stock subject to this Award Agreement based upon the Committee’s determination of the achievement of the Performance Goals as provided in Section 3:</w:t>
      </w:r>
    </w:p>
    <w:p>
      <w:pPr>
        <w:spacing w:after="0" w:line="157" w:lineRule="exact"/>
        <w:rPr>
          <w:rFonts w:ascii="Arial" w:cs="Arial" w:eastAsia="Arial" w:hAnsi="Arial"/>
          <w:sz w:val="22"/>
          <w:szCs w:val="22"/>
          <w:color w:val="auto"/>
        </w:rPr>
      </w:pPr>
    </w:p>
    <w:p>
      <w:pPr>
        <w:ind w:left="2420" w:hanging="648"/>
        <w:spacing w:after="0" w:line="232" w:lineRule="auto"/>
        <w:tabs>
          <w:tab w:leader="none" w:pos="2415"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Participant’s Termination Date occurs on or after the January 1 immediately following the Award Date;</w:t>
      </w:r>
    </w:p>
    <w:p>
      <w:pPr>
        <w:spacing w:after="0" w:line="158" w:lineRule="exact"/>
        <w:rPr>
          <w:rFonts w:ascii="Arial" w:cs="Arial" w:eastAsia="Arial" w:hAnsi="Arial"/>
          <w:sz w:val="22"/>
          <w:szCs w:val="22"/>
          <w:color w:val="auto"/>
        </w:rPr>
      </w:pPr>
    </w:p>
    <w:p>
      <w:pPr>
        <w:ind w:left="2420" w:hanging="648"/>
        <w:spacing w:after="0"/>
        <w:tabs>
          <w:tab w:leader="none" w:pos="24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Participant provides to the Company a transition plan;</w:t>
      </w:r>
    </w:p>
    <w:p>
      <w:pPr>
        <w:spacing w:after="0" w:line="179" w:lineRule="exact"/>
        <w:rPr>
          <w:rFonts w:ascii="Arial" w:cs="Arial" w:eastAsia="Arial" w:hAnsi="Arial"/>
          <w:sz w:val="22"/>
          <w:szCs w:val="22"/>
          <w:color w:val="auto"/>
        </w:rPr>
      </w:pPr>
    </w:p>
    <w:p>
      <w:pPr>
        <w:ind w:left="1120" w:firstLine="652"/>
        <w:spacing w:after="0" w:line="232" w:lineRule="auto"/>
        <w:tabs>
          <w:tab w:leader="none" w:pos="2411"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Participant provides reasonable advance written notice (as determined by the Committee) of the Participant’s Retirement to the Chief Human Resources Officer; and</w:t>
      </w:r>
    </w:p>
    <w:p>
      <w:pPr>
        <w:spacing w:after="0" w:line="158" w:lineRule="exact"/>
        <w:rPr>
          <w:rFonts w:ascii="Arial" w:cs="Arial" w:eastAsia="Arial" w:hAnsi="Arial"/>
          <w:sz w:val="22"/>
          <w:szCs w:val="22"/>
          <w:color w:val="auto"/>
        </w:rPr>
      </w:pPr>
    </w:p>
    <w:p>
      <w:pPr>
        <w:ind w:left="1120" w:firstLine="652"/>
        <w:spacing w:after="0" w:line="298" w:lineRule="auto"/>
        <w:tabs>
          <w:tab w:leader="none" w:pos="2411"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Committee approves providing the benefits set forth in this Section 4(c) above, whose approval must occur prior to the Participant’s Termination Date and is at the sole discretion of the Committee.</w:t>
      </w:r>
    </w:p>
    <w:p>
      <w:pPr>
        <w:spacing w:after="0" w:line="105" w:lineRule="exact"/>
        <w:rPr>
          <w:rFonts w:ascii="Arial" w:cs="Arial" w:eastAsia="Arial" w:hAnsi="Arial"/>
          <w:sz w:val="19"/>
          <w:szCs w:val="19"/>
          <w:color w:val="auto"/>
        </w:rPr>
      </w:pPr>
    </w:p>
    <w:p>
      <w:pPr>
        <w:ind w:left="1760" w:hanging="636"/>
        <w:spacing w:after="0"/>
        <w:tabs>
          <w:tab w:leader="none" w:pos="17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20" w:firstLine="652"/>
        <w:spacing w:after="0" w:line="257" w:lineRule="auto"/>
        <w:tabs>
          <w:tab w:leader="none" w:pos="2411" w:val="left"/>
        </w:tabs>
        <w:numPr>
          <w:ilvl w:val="1"/>
          <w:numId w:val="83"/>
        </w:numPr>
        <w:rPr>
          <w:rFonts w:ascii="Arial" w:cs="Arial" w:eastAsia="Arial" w:hAnsi="Arial"/>
          <w:sz w:val="19"/>
          <w:szCs w:val="19"/>
          <w:color w:val="auto"/>
        </w:rPr>
      </w:pPr>
      <w:r>
        <w:rPr>
          <w:rFonts w:ascii="Arial" w:cs="Arial" w:eastAsia="Arial" w:hAnsi="Arial"/>
          <w:sz w:val="19"/>
          <w:szCs w:val="19"/>
          <w:i w:val="1"/>
          <w:iCs w:val="1"/>
          <w:color w:val="auto"/>
        </w:rPr>
        <w:t>Death or Disability</w:t>
      </w:r>
      <w:r>
        <w:rPr>
          <w:rFonts w:ascii="Arial" w:cs="Arial" w:eastAsia="Arial" w:hAnsi="Arial"/>
          <w:sz w:val="19"/>
          <w:szCs w:val="19"/>
          <w:color w:val="auto"/>
        </w:rPr>
        <w:t>. If the Participant is entitled to a benefit pursuant to Section 4(a) hereof due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Participant's death or Separation from Service due to Disability, then the number of shares of Common Stock determined in accordance with the applicable provision of this Section 4 shall be distributed not later than the 70th day after the Participant’s Termination Date except as otherwise provided in Section 7.</w:t>
      </w:r>
    </w:p>
    <w:p>
      <w:pPr>
        <w:spacing w:after="0" w:line="144" w:lineRule="exact"/>
        <w:rPr>
          <w:rFonts w:ascii="Arial" w:cs="Arial" w:eastAsia="Arial" w:hAnsi="Arial"/>
          <w:sz w:val="19"/>
          <w:szCs w:val="19"/>
          <w:color w:val="auto"/>
        </w:rPr>
      </w:pPr>
    </w:p>
    <w:p>
      <w:pPr>
        <w:jc w:val="both"/>
        <w:ind w:left="1120" w:firstLine="652"/>
        <w:spacing w:after="0" w:line="226" w:lineRule="auto"/>
        <w:tabs>
          <w:tab w:leader="none" w:pos="2411" w:val="left"/>
        </w:tabs>
        <w:numPr>
          <w:ilvl w:val="1"/>
          <w:numId w:val="83"/>
        </w:numPr>
        <w:rPr>
          <w:rFonts w:ascii="Arial" w:cs="Arial" w:eastAsia="Arial" w:hAnsi="Arial"/>
          <w:sz w:val="21"/>
          <w:szCs w:val="21"/>
          <w:color w:val="auto"/>
        </w:rPr>
      </w:pPr>
      <w:r>
        <w:rPr>
          <w:rFonts w:ascii="Arial" w:cs="Arial" w:eastAsia="Arial" w:hAnsi="Arial"/>
          <w:sz w:val="21"/>
          <w:szCs w:val="21"/>
          <w:i w:val="1"/>
          <w:iCs w:val="1"/>
          <w:color w:val="auto"/>
        </w:rPr>
        <w:t>Retirement</w:t>
      </w:r>
      <w:r>
        <w:rPr>
          <w:rFonts w:ascii="Arial" w:cs="Arial" w:eastAsia="Arial" w:hAnsi="Arial"/>
          <w:sz w:val="21"/>
          <w:szCs w:val="21"/>
          <w:color w:val="auto"/>
        </w:rPr>
        <w:t>. If the Participant is entitled to a benefit pursuant to Section 4(b) or Section 4(c) hereof</w:t>
      </w:r>
      <w:r>
        <w:rPr>
          <w:rFonts w:ascii="Arial" w:cs="Arial" w:eastAsia="Arial" w:hAnsi="Arial"/>
          <w:sz w:val="21"/>
          <w:szCs w:val="21"/>
          <w:i w:val="1"/>
          <w:iCs w:val="1"/>
          <w:color w:val="auto"/>
        </w:rPr>
        <w:t xml:space="preserve"> </w:t>
      </w:r>
      <w:r>
        <w:rPr>
          <w:rFonts w:ascii="Arial" w:cs="Arial" w:eastAsia="Arial" w:hAnsi="Arial"/>
          <w:sz w:val="21"/>
          <w:szCs w:val="21"/>
          <w:color w:val="auto"/>
        </w:rPr>
        <w:t>due to the Participant's Separation from Service due to Retirement, then the number of shares of Common Stock determined in accordance with Section 4(b) or Section 4(c), as applicable, shall be distributed on or within 70 days after the Vesting Date(s) upon which such units would be paid under Section 3 hereof assuming continuous Employment by the Participant as of such Vesting Date(s).</w:t>
      </w:r>
    </w:p>
    <w:p>
      <w:pPr>
        <w:spacing w:after="0" w:line="159" w:lineRule="exact"/>
        <w:rPr>
          <w:rFonts w:ascii="Arial" w:cs="Arial" w:eastAsia="Arial" w:hAnsi="Arial"/>
          <w:sz w:val="21"/>
          <w:szCs w:val="21"/>
          <w:color w:val="auto"/>
        </w:rPr>
      </w:pPr>
    </w:p>
    <w:p>
      <w:pPr>
        <w:jc w:val="both"/>
        <w:ind w:left="480" w:firstLine="644"/>
        <w:spacing w:after="0" w:line="218" w:lineRule="auto"/>
        <w:tabs>
          <w:tab w:leader="none" w:pos="177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Upon the date of distribution of shares of Common Stock under this Section 4, the Participant shall also be entitled to receive Dividend Equivalents for the period from the Award Date to the date such vested shares of Common Stock are distributed to the Participant (in accordance with the requirements of Section 409A, to the extent applicable).</w:t>
      </w:r>
    </w:p>
    <w:p>
      <w:pPr>
        <w:spacing w:after="0" w:line="155" w:lineRule="exact"/>
        <w:rPr>
          <w:sz w:val="20"/>
          <w:szCs w:val="20"/>
          <w:color w:val="auto"/>
        </w:rPr>
      </w:pPr>
    </w:p>
    <w:p>
      <w:pPr>
        <w:ind w:left="1780" w:hanging="656"/>
        <w:spacing w:after="0"/>
        <w:tabs>
          <w:tab w:leader="none" w:pos="17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left="480" w:firstLine="644"/>
        <w:spacing w:after="0" w:line="257" w:lineRule="auto"/>
        <w:tabs>
          <w:tab w:leader="none" w:pos="1773"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 Award Agreement or provide a substantially equivalent award in substitution for the units subject to this RSU Award.</w:t>
      </w:r>
    </w:p>
    <w:p>
      <w:pPr>
        <w:spacing w:after="0" w:line="144" w:lineRule="exact"/>
        <w:rPr>
          <w:rFonts w:ascii="Arial" w:cs="Arial" w:eastAsia="Arial" w:hAnsi="Arial"/>
          <w:sz w:val="19"/>
          <w:szCs w:val="19"/>
          <w:color w:val="auto"/>
        </w:rPr>
      </w:pPr>
    </w:p>
    <w:p>
      <w:pPr>
        <w:jc w:val="both"/>
        <w:ind w:left="480" w:firstLine="644"/>
        <w:spacing w:after="0" w:line="223" w:lineRule="auto"/>
        <w:tabs>
          <w:tab w:leader="none" w:pos="1771"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Vesting Upon a Change in Control</w:t>
      </w:r>
      <w:r>
        <w:rPr>
          <w:rFonts w:ascii="Arial" w:cs="Arial" w:eastAsia="Arial" w:hAnsi="Arial"/>
          <w:sz w:val="22"/>
          <w:szCs w:val="22"/>
          <w:color w:val="auto"/>
        </w:rPr>
        <w:t>. Notwithstanding any provision of this Award Agreement to the contrary and without regard to the Performance Goals, if (i) there is a Change in Control and the Change in Control Closing Date occurs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266" w:right="339" w:bottom="1440" w:gutter="0" w:footer="0" w:header="0"/>
        </w:sectPr>
      </w:pPr>
    </w:p>
    <w:bookmarkStart w:id="39" w:name="page40"/>
    <w:bookmarkEnd w:id="39"/>
    <w:p>
      <w:pPr>
        <w:jc w:val="both"/>
        <w:ind w:left="480"/>
        <w:spacing w:after="0" w:line="221" w:lineRule="auto"/>
        <w:rPr>
          <w:sz w:val="20"/>
          <w:szCs w:val="20"/>
          <w:color w:val="auto"/>
        </w:rPr>
      </w:pPr>
      <w:r>
        <w:rPr>
          <w:rFonts w:ascii="Arial" w:cs="Arial" w:eastAsia="Arial" w:hAnsi="Arial"/>
          <w:sz w:val="21"/>
          <w:szCs w:val="21"/>
          <w:color w:val="auto"/>
        </w:rPr>
        <w:t>final Vesting Date and prior to the Participant’s Separation from Service other than due to Retirement and (ii) the Acquiror does not assume or continue this RSU Award or provide a substantially equivalent award in substitution for this RSU Award pursuant to Section 5(a), then, upon the Change in Control Closing Date, the Participant's right to receive the unvested units of Common Stock subject to this Award Agreement shall be fully vested. Notwithstanding the foregoing, in the event the Change in Control occurs after the Participant has had a Separation from Service due to Retirement, unless the applicable requirements set forth in Section 4(c) are satisfied, the number of shares of Common Stock such Participant shall receive under this Section 5(b) shall be pro-rated based on the number of days that elapsed from the Award Date to the Participant's Termination Date over the total number of days from the Award Date until the final Vesting Date.</w:t>
      </w:r>
    </w:p>
    <w:p>
      <w:pPr>
        <w:spacing w:after="0" w:line="159" w:lineRule="exact"/>
        <w:rPr>
          <w:sz w:val="20"/>
          <w:szCs w:val="20"/>
          <w:color w:val="auto"/>
        </w:rPr>
      </w:pPr>
    </w:p>
    <w:p>
      <w:pPr>
        <w:jc w:val="both"/>
        <w:ind w:left="480" w:firstLine="644"/>
        <w:spacing w:after="0" w:line="218" w:lineRule="auto"/>
        <w:tabs>
          <w:tab w:leader="none" w:pos="1773"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Vesting Upon a Covered Termination</w:t>
      </w:r>
      <w:r>
        <w:rPr>
          <w:rFonts w:ascii="Arial" w:cs="Arial" w:eastAsia="Arial" w:hAnsi="Arial"/>
          <w:sz w:val="22"/>
          <w:szCs w:val="22"/>
          <w:color w:val="auto"/>
        </w:rPr>
        <w:t>. Notwithstanding any provision of this Award Agreement to the contrary and without regard to the Performance Goals, if the Participant experiences a Covered Termination prior to the final Vesting Date, then, upon the date of the Covered Termination, the Participant's right to receive any unvested units of Common Stock subject to this Award Agreement shall be fully vested.</w:t>
      </w:r>
    </w:p>
    <w:p>
      <w:pPr>
        <w:spacing w:after="0" w:line="160" w:lineRule="exact"/>
        <w:rPr>
          <w:rFonts w:ascii="Arial" w:cs="Arial" w:eastAsia="Arial" w:hAnsi="Arial"/>
          <w:sz w:val="22"/>
          <w:szCs w:val="22"/>
          <w:color w:val="auto"/>
        </w:rPr>
      </w:pPr>
    </w:p>
    <w:p>
      <w:pPr>
        <w:jc w:val="both"/>
        <w:ind w:left="480" w:firstLine="644"/>
        <w:spacing w:after="0" w:line="219" w:lineRule="auto"/>
        <w:tabs>
          <w:tab w:leader="none" w:pos="1771"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Vesting Upon the Sale of a Subsidiary</w:t>
      </w:r>
      <w:r>
        <w:rPr>
          <w:rFonts w:ascii="Arial" w:cs="Arial" w:eastAsia="Arial" w:hAnsi="Arial"/>
          <w:sz w:val="21"/>
          <w:szCs w:val="21"/>
          <w:color w:val="auto"/>
        </w:rPr>
        <w:t>. Notwithstanding any provision of this Award Agreement to the contrary and without regard to the Performance Goals, if (i) there is a Sale of a Subsidiary with respect to the Participant prior to the final Vesting Date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 shall vest in the right to receive a number of the shares of Common Stock (rounded up to the nearest whole share) with respect to the unvested portion of this RSU Award determined by multiplying (A) the total number of units of Common Stock covered by this RSU Award by (B) a fraction, the numerator of which is the number of days that have elapsed from the Award Date to the date the Sale of a Subsidiary is consummated, and the denominator of which is the total number of days from the Award Date until the final Vesting Date. The Participant’s right to receive any additional shares pursuant to this Award Agreement shall be forfeited at such time.</w:t>
      </w:r>
    </w:p>
    <w:p>
      <w:pPr>
        <w:spacing w:after="0" w:line="168" w:lineRule="exact"/>
        <w:rPr>
          <w:rFonts w:ascii="Arial" w:cs="Arial" w:eastAsia="Arial" w:hAnsi="Arial"/>
          <w:sz w:val="21"/>
          <w:szCs w:val="21"/>
          <w:color w:val="auto"/>
        </w:rPr>
      </w:pPr>
    </w:p>
    <w:p>
      <w:pPr>
        <w:jc w:val="both"/>
        <w:ind w:left="480" w:right="20" w:firstLine="644"/>
        <w:spacing w:after="0" w:line="223" w:lineRule="auto"/>
        <w:tabs>
          <w:tab w:leader="none" w:pos="1773"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Distributions Upon a Change in Control or Sale of a Subsidiary</w:t>
      </w:r>
      <w:r>
        <w:rPr>
          <w:rFonts w:ascii="Arial" w:cs="Arial" w:eastAsia="Arial" w:hAnsi="Arial"/>
          <w:sz w:val="22"/>
          <w:szCs w:val="22"/>
          <w:color w:val="auto"/>
        </w:rPr>
        <w:t>. If the Participant is entitled to a benefit pursuant to Section 5(b), 5(c), or 5(d) hereof, then this RSU Award shall be settled by one or more distributions to the Participant of:</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1"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1" w:val="left"/>
        </w:tabs>
        <w:numPr>
          <w:ilvl w:val="1"/>
          <w:numId w:val="86"/>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in the form of shares of Common Stock (rounded up to the nearest whole share) for the period commencing on the Award Date and ending on the date immediately preceding the date of the distribution.</w:t>
      </w:r>
    </w:p>
    <w:p>
      <w:pPr>
        <w:spacing w:after="0" w:line="159" w:lineRule="exact"/>
        <w:rPr>
          <w:sz w:val="20"/>
          <w:szCs w:val="20"/>
          <w:color w:val="auto"/>
        </w:rPr>
      </w:pPr>
    </w:p>
    <w:p>
      <w:pPr>
        <w:ind w:left="48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one or more cash payments equal to:</w:t>
      </w:r>
    </w:p>
    <w:p>
      <w:pPr>
        <w:spacing w:after="0" w:line="159" w:lineRule="exact"/>
        <w:rPr>
          <w:sz w:val="20"/>
          <w:szCs w:val="20"/>
          <w:color w:val="auto"/>
        </w:rPr>
      </w:pPr>
    </w:p>
    <w:p>
      <w:pPr>
        <w:jc w:val="both"/>
        <w:ind w:left="1120" w:firstLine="652"/>
        <w:spacing w:after="0" w:line="218" w:lineRule="auto"/>
        <w:tabs>
          <w:tab w:leader="none" w:pos="2411"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product of (i) the Fair Market Value per share of Common Stock on the date immediately preceding the date of the distribution and (ii) 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266" w:right="339" w:bottom="1440" w:gutter="0" w:footer="0" w:header="0"/>
        </w:sectPr>
      </w:pPr>
    </w:p>
    <w:bookmarkStart w:id="40" w:name="page41"/>
    <w:bookmarkEnd w:id="40"/>
    <w:p>
      <w:pPr>
        <w:ind w:left="1120" w:firstLine="652"/>
        <w:spacing w:after="0" w:line="232" w:lineRule="auto"/>
        <w:tabs>
          <w:tab w:leader="none" w:pos="2411" w:val="left"/>
        </w:tabs>
        <w:numPr>
          <w:ilvl w:val="0"/>
          <w:numId w:val="88"/>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for the period commencing on the Award Date and ending on the date immediately preceding the date of the distribution.</w:t>
      </w:r>
    </w:p>
    <w:p>
      <w:pPr>
        <w:spacing w:after="0" w:line="159" w:lineRule="exact"/>
        <w:rPr>
          <w:sz w:val="20"/>
          <w:szCs w:val="20"/>
          <w:color w:val="auto"/>
        </w:rPr>
      </w:pPr>
    </w:p>
    <w:p>
      <w:pPr>
        <w:ind w:left="480" w:right="20"/>
        <w:spacing w:after="0" w:line="298" w:lineRule="auto"/>
        <w:rPr>
          <w:sz w:val="20"/>
          <w:szCs w:val="20"/>
          <w:color w:val="auto"/>
        </w:rPr>
      </w:pPr>
      <w:r>
        <w:rPr>
          <w:rFonts w:ascii="Arial" w:cs="Arial" w:eastAsia="Arial" w:hAnsi="Arial"/>
          <w:sz w:val="19"/>
          <w:szCs w:val="19"/>
          <w:color w:val="auto"/>
        </w:rPr>
        <w:t>Such distribution under this Section 5, whether in the form of shares of Common Stock or, if directed by the Committee, in cash, shall satisfy the rights of the Participant and the obligations of the Company under this Award Agreement in full.</w:t>
      </w:r>
    </w:p>
    <w:p>
      <w:pPr>
        <w:spacing w:after="0" w:line="105" w:lineRule="exact"/>
        <w:rPr>
          <w:sz w:val="20"/>
          <w:szCs w:val="20"/>
          <w:color w:val="auto"/>
        </w:rPr>
      </w:pPr>
    </w:p>
    <w:p>
      <w:pPr>
        <w:ind w:left="1780" w:hanging="656"/>
        <w:spacing w:after="0"/>
        <w:tabs>
          <w:tab w:leader="none" w:pos="17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p>
    <w:p>
      <w:pPr>
        <w:spacing w:after="0" w:line="179" w:lineRule="exact"/>
        <w:rPr>
          <w:rFonts w:ascii="Arial" w:cs="Arial" w:eastAsia="Arial" w:hAnsi="Arial"/>
          <w:sz w:val="22"/>
          <w:szCs w:val="22"/>
          <w:color w:val="auto"/>
        </w:rPr>
      </w:pPr>
    </w:p>
    <w:p>
      <w:pPr>
        <w:ind w:left="1120" w:firstLine="652"/>
        <w:spacing w:after="0" w:line="247" w:lineRule="auto"/>
        <w:tabs>
          <w:tab w:leader="none" w:pos="2411" w:val="left"/>
        </w:tabs>
        <w:numPr>
          <w:ilvl w:val="1"/>
          <w:numId w:val="89"/>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5(b),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5(e) on the Change in Control Payment Date.</w:t>
      </w:r>
    </w:p>
    <w:p>
      <w:pPr>
        <w:spacing w:after="0" w:line="150" w:lineRule="exact"/>
        <w:rPr>
          <w:rFonts w:ascii="Arial" w:cs="Arial" w:eastAsia="Arial" w:hAnsi="Arial"/>
          <w:sz w:val="21"/>
          <w:szCs w:val="21"/>
          <w:color w:val="auto"/>
        </w:rPr>
      </w:pPr>
    </w:p>
    <w:p>
      <w:pPr>
        <w:jc w:val="both"/>
        <w:ind w:left="1120" w:firstLine="652"/>
        <w:spacing w:after="0" w:line="234" w:lineRule="auto"/>
        <w:tabs>
          <w:tab w:leader="none" w:pos="2411" w:val="left"/>
        </w:tabs>
        <w:numPr>
          <w:ilvl w:val="1"/>
          <w:numId w:val="89"/>
        </w:numPr>
        <w:rPr>
          <w:rFonts w:ascii="Arial" w:cs="Arial" w:eastAsia="Arial" w:hAnsi="Arial"/>
          <w:sz w:val="21"/>
          <w:szCs w:val="21"/>
          <w:color w:val="auto"/>
        </w:rPr>
      </w:pPr>
      <w:r>
        <w:rPr>
          <w:rFonts w:ascii="Arial" w:cs="Arial" w:eastAsia="Arial" w:hAnsi="Arial"/>
          <w:sz w:val="21"/>
          <w:szCs w:val="21"/>
          <w:i w:val="1"/>
          <w:iCs w:val="1"/>
          <w:color w:val="auto"/>
        </w:rPr>
        <w:t>Covered Termination</w:t>
      </w:r>
      <w:r>
        <w:rPr>
          <w:rFonts w:ascii="Arial" w:cs="Arial" w:eastAsia="Arial" w:hAnsi="Arial"/>
          <w:sz w:val="21"/>
          <w:szCs w:val="21"/>
          <w:color w:val="auto"/>
        </w:rPr>
        <w:t>. If the Participant is entitled to a benefit pursuant to Section 5(c) on account</w:t>
      </w:r>
      <w:r>
        <w:rPr>
          <w:rFonts w:ascii="Arial" w:cs="Arial" w:eastAsia="Arial" w:hAnsi="Arial"/>
          <w:sz w:val="21"/>
          <w:szCs w:val="21"/>
          <w:i w:val="1"/>
          <w:iCs w:val="1"/>
          <w:color w:val="auto"/>
        </w:rPr>
        <w:t xml:space="preserve"> </w:t>
      </w:r>
      <w:r>
        <w:rPr>
          <w:rFonts w:ascii="Arial" w:cs="Arial" w:eastAsia="Arial" w:hAnsi="Arial"/>
          <w:sz w:val="21"/>
          <w:szCs w:val="21"/>
          <w:color w:val="auto"/>
        </w:rPr>
        <w:t>of a Covered Termination, distributions shall be made in accordance with Section 5(e) not later than the 70th day after the Participant’s Termination Date except as otherwise provided in Section 7.</w:t>
      </w:r>
    </w:p>
    <w:p>
      <w:pPr>
        <w:spacing w:after="0" w:line="157" w:lineRule="exact"/>
        <w:rPr>
          <w:rFonts w:ascii="Arial" w:cs="Arial" w:eastAsia="Arial" w:hAnsi="Arial"/>
          <w:sz w:val="21"/>
          <w:szCs w:val="21"/>
          <w:color w:val="auto"/>
        </w:rPr>
      </w:pPr>
    </w:p>
    <w:p>
      <w:pPr>
        <w:jc w:val="both"/>
        <w:ind w:left="1120" w:firstLine="652"/>
        <w:spacing w:after="0" w:line="223" w:lineRule="auto"/>
        <w:tabs>
          <w:tab w:leader="none" w:pos="2411" w:val="left"/>
        </w:tabs>
        <w:numPr>
          <w:ilvl w:val="1"/>
          <w:numId w:val="89"/>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5(d),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5(e) not later than the 70th day after the date the Sale of a Subsidiary is consummated.</w:t>
      </w:r>
    </w:p>
    <w:p>
      <w:pPr>
        <w:spacing w:after="0" w:line="153" w:lineRule="exact"/>
        <w:rPr>
          <w:sz w:val="20"/>
          <w:szCs w:val="20"/>
          <w:color w:val="auto"/>
        </w:rPr>
      </w:pPr>
    </w:p>
    <w:p>
      <w:pPr>
        <w:jc w:val="both"/>
        <w:ind w:left="-180" w:firstLine="1304"/>
        <w:spacing w:after="0" w:line="225" w:lineRule="auto"/>
        <w:tabs>
          <w:tab w:leader="none" w:pos="1764"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RSU Award Under Section 3. </w:t>
      </w:r>
      <w:r>
        <w:rPr>
          <w:rFonts w:ascii="Arial" w:cs="Arial" w:eastAsia="Arial" w:hAnsi="Arial"/>
          <w:sz w:val="21"/>
          <w:szCs w:val="21"/>
          <w:color w:val="auto"/>
        </w:rPr>
        <w:t>Upon the vesting of the Participant's right to receive a number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shares of Common Stock pursuant to Section 3 under this Award Agreement, such shares of Common Stock will be distributed not later than the 70th day after the applicable Vesting Date. Moreover, upon the date of distribution of shares of Common Stock, the Participant shall also be entitled to receive Dividend Equivalents for the period commencing on the Award Date and ending on the date such vested shares of Common Stock are distributed to the Participant (in accordance with the requirements of Section 409A, to the extent applicable).</w:t>
      </w:r>
    </w:p>
    <w:p>
      <w:pPr>
        <w:spacing w:after="0" w:line="153" w:lineRule="exact"/>
        <w:rPr>
          <w:rFonts w:ascii="Arial" w:cs="Arial" w:eastAsia="Arial" w:hAnsi="Arial"/>
          <w:sz w:val="21"/>
          <w:szCs w:val="21"/>
          <w:b w:val="1"/>
          <w:bCs w:val="1"/>
          <w:color w:val="auto"/>
        </w:rPr>
      </w:pPr>
    </w:p>
    <w:p>
      <w:pPr>
        <w:jc w:val="both"/>
        <w:ind w:left="-180" w:firstLine="1304"/>
        <w:spacing w:after="0" w:line="215" w:lineRule="auto"/>
        <w:tabs>
          <w:tab w:leader="none" w:pos="1764"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Delay of Distribution to Certain Participants. </w:t>
      </w:r>
      <w:r>
        <w:rPr>
          <w:rFonts w:ascii="Arial" w:cs="Arial" w:eastAsia="Arial" w:hAnsi="Arial"/>
          <w:sz w:val="22"/>
          <w:szCs w:val="22"/>
          <w:color w:val="auto"/>
        </w:rPr>
        <w:t>With respect to any benefits payable hereunder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Separation from Service (other than a Separation from Service due to the Participant’s death), if as of the Participant’s Termination Date, the Participant is a “specified employee” (within the meaning of Section 409A(a)(2)(B)), then such benefits shall not be distributed until the date that is the earlier of (x) the second business day following the end of the six-month period commencing on the Participant's Termination Date or (y) the Participant's date of death, if death occurs during such six-month period.</w:t>
      </w:r>
    </w:p>
    <w:p>
      <w:pPr>
        <w:spacing w:after="0" w:line="152" w:lineRule="exact"/>
        <w:rPr>
          <w:rFonts w:ascii="Arial" w:cs="Arial" w:eastAsia="Arial" w:hAnsi="Arial"/>
          <w:sz w:val="22"/>
          <w:szCs w:val="22"/>
          <w:b w:val="1"/>
          <w:bCs w:val="1"/>
          <w:color w:val="auto"/>
        </w:rPr>
      </w:pPr>
    </w:p>
    <w:p>
      <w:pPr>
        <w:jc w:val="both"/>
        <w:ind w:left="-180" w:firstLine="1304"/>
        <w:spacing w:after="0" w:line="215" w:lineRule="auto"/>
        <w:tabs>
          <w:tab w:leader="none" w:pos="1764"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780" w:hanging="656"/>
        <w:spacing w:after="0"/>
        <w:tabs>
          <w:tab w:leader="none" w:pos="17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p>
    <w:p>
      <w:pPr>
        <w:spacing w:after="0" w:line="185" w:lineRule="exact"/>
        <w:rPr>
          <w:sz w:val="20"/>
          <w:szCs w:val="20"/>
          <w:color w:val="auto"/>
        </w:rPr>
      </w:pPr>
    </w:p>
    <w:p>
      <w:pPr>
        <w:jc w:val="both"/>
        <w:ind w:left="480" w:firstLine="644"/>
        <w:spacing w:after="0" w:line="223" w:lineRule="auto"/>
        <w:tabs>
          <w:tab w:leader="none" w:pos="1773"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The Participant acknowledges that in the course of his or her employment with the Company, the Company agrees to provide to the Participant Confidential Information regarding the Company and the Company’s business and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266" w:right="339" w:bottom="1440" w:gutter="0" w:footer="0" w:header="0"/>
        </w:sectPr>
      </w:pPr>
    </w:p>
    <w:bookmarkStart w:id="41" w:name="page42"/>
    <w:bookmarkEnd w:id="41"/>
    <w:p>
      <w:pPr>
        <w:jc w:val="both"/>
        <w:ind w:left="480"/>
        <w:spacing w:after="0"/>
        <w:rPr>
          <w:sz w:val="20"/>
          <w:szCs w:val="20"/>
          <w:color w:val="auto"/>
        </w:rPr>
      </w:pPr>
      <w:r>
        <w:rPr>
          <w:rFonts w:ascii="Arial" w:cs="Arial" w:eastAsia="Arial" w:hAnsi="Arial"/>
          <w:sz w:val="19"/>
          <w:szCs w:val="19"/>
          <w:color w:val="auto"/>
        </w:rPr>
        <w:t>previously provided the Participant other such Confidential Information. In return for 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Award Agreement,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shall mean any and all information, data and knowledge that has been created, discovered, developed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372" w:lineRule="exact"/>
        <w:rPr>
          <w:sz w:val="20"/>
          <w:szCs w:val="20"/>
          <w:color w:val="auto"/>
        </w:rPr>
      </w:pPr>
    </w:p>
    <w:p>
      <w:pPr>
        <w:jc w:val="both"/>
        <w:ind w:left="480" w:firstLine="644"/>
        <w:spacing w:after="0" w:line="249" w:lineRule="auto"/>
        <w:tabs>
          <w:tab w:leader="none" w:pos="177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1" w:lineRule="exact"/>
        <w:rPr>
          <w:rFonts w:ascii="Arial" w:cs="Arial" w:eastAsia="Arial" w:hAnsi="Arial"/>
          <w:sz w:val="19"/>
          <w:szCs w:val="19"/>
          <w:color w:val="auto"/>
        </w:rPr>
      </w:pPr>
    </w:p>
    <w:p>
      <w:pPr>
        <w:ind w:left="1760" w:hanging="636"/>
        <w:spacing w:after="0"/>
        <w:tabs>
          <w:tab w:leader="none" w:pos="176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p>
    <w:p>
      <w:pPr>
        <w:spacing w:after="0" w:line="179" w:lineRule="exact"/>
        <w:rPr>
          <w:rFonts w:ascii="Arial" w:cs="Arial" w:eastAsia="Arial" w:hAnsi="Arial"/>
          <w:sz w:val="22"/>
          <w:szCs w:val="22"/>
          <w:color w:val="auto"/>
        </w:rPr>
      </w:pPr>
    </w:p>
    <w:p>
      <w:pPr>
        <w:jc w:val="both"/>
        <w:ind w:left="1120" w:firstLine="652"/>
        <w:spacing w:after="0" w:line="222" w:lineRule="auto"/>
        <w:tabs>
          <w:tab w:leader="none" w:pos="2411" w:val="left"/>
        </w:tabs>
        <w:numPr>
          <w:ilvl w:val="1"/>
          <w:numId w:val="92"/>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9(a))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500" w:top="1266" w:right="339" w:bottom="1440" w:gutter="0" w:footer="0" w:header="0"/>
        </w:sectPr>
      </w:pPr>
    </w:p>
    <w:bookmarkStart w:id="42" w:name="page43"/>
    <w:bookmarkEnd w:id="42"/>
    <w:p>
      <w:pPr>
        <w:ind w:left="1300"/>
        <w:spacing w:after="0" w:line="247" w:lineRule="auto"/>
        <w:rPr>
          <w:sz w:val="20"/>
          <w:szCs w:val="20"/>
          <w:color w:val="auto"/>
        </w:rPr>
      </w:pPr>
      <w:r>
        <w:rPr>
          <w:rFonts w:ascii="Arial" w:cs="Arial" w:eastAsia="Arial" w:hAnsi="Arial"/>
          <w:sz w:val="21"/>
          <w:szCs w:val="21"/>
          <w:color w:val="auto"/>
        </w:rPr>
        <w:t>solicit or attempt to solicit the business of any customer or acquisition prospect of the Company or any of its affiliates or ventures with whom the Participant had any actual contact while employed at the Company.</w:t>
      </w:r>
    </w:p>
    <w:p>
      <w:pPr>
        <w:spacing w:after="0" w:line="151" w:lineRule="exact"/>
        <w:rPr>
          <w:sz w:val="20"/>
          <w:szCs w:val="20"/>
          <w:color w:val="auto"/>
        </w:rPr>
      </w:pPr>
    </w:p>
    <w:p>
      <w:pPr>
        <w:jc w:val="both"/>
        <w:ind w:left="1300" w:firstLine="652"/>
        <w:spacing w:after="0" w:line="211" w:lineRule="auto"/>
        <w:tabs>
          <w:tab w:leader="none" w:pos="2591" w:val="left"/>
        </w:tabs>
        <w:numPr>
          <w:ilvl w:val="1"/>
          <w:numId w:val="93"/>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300" w:firstLine="652"/>
        <w:spacing w:after="0" w:line="268" w:lineRule="auto"/>
        <w:tabs>
          <w:tab w:leader="none" w:pos="2591" w:val="left"/>
        </w:tabs>
        <w:numPr>
          <w:ilvl w:val="1"/>
          <w:numId w:val="93"/>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9(c)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jc w:val="both"/>
        <w:ind w:left="660" w:firstLine="644"/>
        <w:spacing w:after="0" w:line="244" w:lineRule="auto"/>
        <w:tabs>
          <w:tab w:leader="none" w:pos="195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9, for which the Participant received valuable consideration 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4" w:lineRule="exact"/>
        <w:rPr>
          <w:rFonts w:ascii="Arial" w:cs="Arial" w:eastAsia="Arial" w:hAnsi="Arial"/>
          <w:sz w:val="19"/>
          <w:szCs w:val="19"/>
          <w:color w:val="auto"/>
        </w:rPr>
      </w:pPr>
    </w:p>
    <w:p>
      <w:pPr>
        <w:jc w:val="both"/>
        <w:ind w:left="660" w:firstLine="644"/>
        <w:spacing w:after="0" w:line="246" w:lineRule="auto"/>
        <w:tabs>
          <w:tab w:leader="none" w:pos="195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9, the Participant shall not be entitled to receive any amounts that would otherwise be payable to the Participant with respect to this RSU Award, and such amounts shall be forfeited. If the Participant violates any provision of this Section 9 after amounts under this RSU Award have been paid or if the Company learns of the violation after amounts under this RSU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9.</w:t>
      </w:r>
    </w:p>
    <w:p>
      <w:pPr>
        <w:spacing w:after="0" w:line="146" w:lineRule="exact"/>
        <w:rPr>
          <w:sz w:val="20"/>
          <w:szCs w:val="20"/>
          <w:color w:val="auto"/>
        </w:rPr>
      </w:pPr>
    </w:p>
    <w:p>
      <w:pPr>
        <w:jc w:val="both"/>
        <w:ind w:firstLine="1304"/>
        <w:spacing w:after="0" w:line="225" w:lineRule="auto"/>
        <w:tabs>
          <w:tab w:leader="none" w:pos="1944"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6" w:right="3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department of the Company, or such other address as the Participant hereafter designates by written notice to the Company.</w:t>
      </w:r>
    </w:p>
    <w:p>
      <w:pPr>
        <w:spacing w:after="0" w:line="208" w:lineRule="exact"/>
        <w:rPr>
          <w:sz w:val="20"/>
          <w:szCs w:val="20"/>
          <w:color w:val="auto"/>
        </w:rPr>
      </w:pPr>
    </w:p>
    <w:p>
      <w:pPr>
        <w:jc w:val="both"/>
        <w:ind w:firstLine="1304"/>
        <w:spacing w:after="0" w:line="225" w:lineRule="auto"/>
        <w:tabs>
          <w:tab w:leader="none" w:pos="19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units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subject to this Award Agreement, unless and until the Participant is registered as the holder of such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units of Common Stock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123"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and will be interpreted and administered consistent therewith. Accordingly, (i) no adjustment to the RSU Award pursuant to Section 14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color w:val="auto"/>
        </w:rPr>
        <w:t>CENTERPOINT ENERGY, INC.</w:t>
      </w:r>
    </w:p>
    <w:p>
      <w:pPr>
        <w:jc w:val="center"/>
        <w:spacing w:after="0" w:line="207" w:lineRule="auto"/>
        <w:rPr>
          <w:sz w:val="20"/>
          <w:szCs w:val="20"/>
          <w:color w:val="auto"/>
        </w:rPr>
      </w:pPr>
      <w:r>
        <w:rPr>
          <w:rFonts w:ascii="Arial" w:cs="Arial" w:eastAsia="Arial" w:hAnsi="Arial"/>
          <w:sz w:val="25"/>
          <w:szCs w:val="25"/>
          <w:b w:val="1"/>
          <w:bCs w:val="1"/>
          <w:color w:val="auto"/>
        </w:rPr>
        <w:t>2022 LONG TERM INCENTIVE PLAN</w:t>
      </w:r>
    </w:p>
    <w:p>
      <w:pPr>
        <w:jc w:val="center"/>
        <w:spacing w:after="0" w:line="204" w:lineRule="auto"/>
        <w:rPr>
          <w:sz w:val="20"/>
          <w:szCs w:val="20"/>
          <w:color w:val="auto"/>
        </w:rPr>
      </w:pPr>
      <w:r>
        <w:rPr>
          <w:rFonts w:ascii="Arial" w:cs="Arial" w:eastAsia="Arial" w:hAnsi="Arial"/>
          <w:sz w:val="22"/>
          <w:szCs w:val="22"/>
          <w:b w:val="1"/>
          <w:bCs w:val="1"/>
          <w:color w:val="auto"/>
        </w:rPr>
        <w:t>FORM OF RESTRICTED STOCK UNIT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Performance Goals)</w:t>
      </w:r>
    </w:p>
    <w:p>
      <w:pPr>
        <w:spacing w:after="0" w:line="182"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Pursuant to this Restricted Stock Unit Award Agreement (“Award Agreement”), </w:t>
      </w:r>
      <w:r>
        <w:rPr>
          <w:rFonts w:ascii="Arial" w:cs="Arial" w:eastAsia="Arial" w:hAnsi="Arial"/>
          <w:sz w:val="22"/>
          <w:szCs w:val="22"/>
          <w:b w:val="1"/>
          <w:bCs w:val="1"/>
          <w:color w:val="auto"/>
        </w:rPr>
        <w:t>CenterPoint Energy, Inc.</w:t>
      </w:r>
      <w:r>
        <w:rPr>
          <w:rFonts w:ascii="Arial" w:cs="Arial" w:eastAsia="Arial" w:hAnsi="Arial"/>
          <w:sz w:val="22"/>
          <w:szCs w:val="22"/>
          <w:color w:val="auto"/>
        </w:rPr>
        <w:t xml:space="preserve"> (the “Company”) hereby grants to &lt;first_name&gt; &lt;last_name&gt;, an employee of the Company, on &lt;award_date&gt; (the “Award Date”), a restricted stock unit award of &lt;shares_awarded&gt; units of Common Stock of the Company (the “RSU Award”) pursuant to the </w:t>
      </w:r>
      <w:r>
        <w:rPr>
          <w:rFonts w:ascii="Arial" w:cs="Arial" w:eastAsia="Arial" w:hAnsi="Arial"/>
          <w:sz w:val="22"/>
          <w:szCs w:val="22"/>
          <w:b w:val="1"/>
          <w:bCs w:val="1"/>
          <w:color w:val="auto"/>
        </w:rPr>
        <w:t xml:space="preserve">CenterPoint Energy, Inc. 2022 Long Term Incentive Plan </w:t>
      </w:r>
      <w:r>
        <w:rPr>
          <w:rFonts w:ascii="Arial" w:cs="Arial" w:eastAsia="Arial" w:hAnsi="Arial"/>
          <w:sz w:val="22"/>
          <w:szCs w:val="22"/>
          <w:color w:val="auto"/>
        </w:rPr>
        <w:t>(the “Plan”), conditioned upon the Company’s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established by the Committee and subject to the terms, conditions and restrictions described in the Plan and as follows:</w:t>
      </w:r>
    </w:p>
    <w:p>
      <w:pPr>
        <w:spacing w:after="0" w:line="152" w:lineRule="exact"/>
        <w:rPr>
          <w:sz w:val="20"/>
          <w:szCs w:val="20"/>
          <w:color w:val="auto"/>
        </w:rPr>
      </w:pPr>
    </w:p>
    <w:p>
      <w:pPr>
        <w:jc w:val="both"/>
        <w:ind w:firstLine="1304"/>
        <w:spacing w:after="0" w:line="248" w:lineRule="auto"/>
        <w:tabs>
          <w:tab w:leader="none" w:pos="1944"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the Plan; Definitions. </w:t>
      </w:r>
      <w:r>
        <w:rPr>
          <w:rFonts w:ascii="Arial" w:cs="Arial" w:eastAsia="Arial" w:hAnsi="Arial"/>
          <w:sz w:val="19"/>
          <w:szCs w:val="19"/>
          <w:color w:val="auto"/>
        </w:rPr>
        <w:t>This RSU Award is subject to all of the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 effect on the date hereof and administrative interpretations thereunder, if any, adopted by the Committee.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“Award Date” </w:t>
      </w:r>
      <w:r>
        <w:rPr>
          <w:rFonts w:ascii="Arial" w:cs="Arial" w:eastAsia="Arial" w:hAnsi="Arial"/>
          <w:sz w:val="19"/>
          <w:szCs w:val="19"/>
          <w:color w:val="auto"/>
        </w:rPr>
        <w:t>means the date this RSU Award is granted to the Participant as specified in this Award Agreement.</w:t>
      </w:r>
    </w:p>
    <w:p>
      <w:pPr>
        <w:spacing w:after="0" w:line="21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the Participant’s (a) gross negligence in the performance of his or her duties, (b) intentional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Closing Date” </w:t>
      </w:r>
      <w:r>
        <w:rPr>
          <w:rFonts w:ascii="Arial" w:cs="Arial" w:eastAsia="Arial" w:hAnsi="Arial"/>
          <w:sz w:val="22"/>
          <w:szCs w:val="22"/>
          <w:color w:val="auto"/>
        </w:rPr>
        <w:t>means the date a Change in Control is consummated.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185" w:lineRule="exact"/>
        <w:rPr>
          <w:sz w:val="20"/>
          <w:szCs w:val="20"/>
          <w:color w:val="auto"/>
        </w:rPr>
      </w:pPr>
    </w:p>
    <w:p>
      <w:pPr>
        <w:ind w:left="1300" w:firstLine="652"/>
        <w:spacing w:after="0" w:line="247" w:lineRule="auto"/>
        <w:tabs>
          <w:tab w:leader="none" w:pos="2593"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the Change in Control is a Section 409A Change in Control, then the Change in Control Payment Date shall be not later than the 70th day after the Change in Control Closing Date; and</w:t>
      </w:r>
    </w:p>
    <w:p>
      <w:pPr>
        <w:spacing w:after="0" w:line="150" w:lineRule="exact"/>
        <w:rPr>
          <w:rFonts w:ascii="Arial" w:cs="Arial" w:eastAsia="Arial" w:hAnsi="Arial"/>
          <w:sz w:val="21"/>
          <w:szCs w:val="21"/>
          <w:color w:val="auto"/>
        </w:rPr>
      </w:pPr>
    </w:p>
    <w:p>
      <w:pPr>
        <w:jc w:val="both"/>
        <w:ind w:left="1300" w:firstLine="652"/>
        <w:spacing w:after="0" w:line="216" w:lineRule="auto"/>
        <w:tabs>
          <w:tab w:leader="none" w:pos="25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the Change in Control is a Non-Section 409A Change in Control, then the Change in Control Payment Date shall be the Vesting Date(s) on which the units are paid under Section 3 hereof for the number of units indicated in Section 3 assuming continuous Employment by the Participant as of such Vesting Date(s); provided, however, in the case of the Participant’s death or Separation from Service prior to the Vesting Date(s), all shares not previously</w:t>
      </w:r>
    </w:p>
    <w:p>
      <w:pPr>
        <w:sectPr>
          <w:pgSz w:w="11900" w:h="16838" w:orient="portrait"/>
          <w:cols w:equalWidth="0" w:num="1">
            <w:col w:w="11240"/>
          </w:cols>
          <w:pgMar w:left="320" w:top="1234" w:right="339" w:bottom="1440" w:gutter="0" w:footer="0" w:header="0"/>
        </w:sectPr>
      </w:pPr>
    </w:p>
    <w:bookmarkStart w:id="45" w:name="page46"/>
    <w:bookmarkEnd w:id="45"/>
    <w:p>
      <w:pPr>
        <w:ind w:left="1300" w:right="20"/>
        <w:spacing w:after="0" w:line="232" w:lineRule="auto"/>
        <w:rPr>
          <w:sz w:val="20"/>
          <w:szCs w:val="20"/>
          <w:color w:val="auto"/>
        </w:rPr>
      </w:pPr>
      <w:r>
        <w:rPr>
          <w:rFonts w:ascii="Arial" w:cs="Arial" w:eastAsia="Arial" w:hAnsi="Arial"/>
          <w:sz w:val="22"/>
          <w:szCs w:val="22"/>
          <w:color w:val="auto"/>
        </w:rPr>
        <w:t>paid shall be paid not later than the 70th day after the Participant’s Termination Date except as otherwise provided in Section 7.</w:t>
      </w:r>
    </w:p>
    <w:p>
      <w:pPr>
        <w:spacing w:after="0" w:line="15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600" w:hanging="648"/>
        <w:spacing w:after="0"/>
        <w:tabs>
          <w:tab w:leader="none" w:pos="2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both eligible for and in receipt of benefits under the Company’s long-term disability plan.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300" w:firstLine="652"/>
        <w:spacing w:after="0" w:line="223" w:lineRule="auto"/>
        <w:tabs>
          <w:tab w:leader="none" w:pos="25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300" w:firstLine="652"/>
        <w:spacing w:after="0" w:line="214" w:lineRule="auto"/>
        <w:tabs>
          <w:tab w:leader="none" w:pos="25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(d);</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5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jc w:val="both"/>
        <w:ind w:left="1300" w:firstLine="652"/>
        <w:spacing w:after="0" w:line="223" w:lineRule="auto"/>
        <w:tabs>
          <w:tab w:leader="none" w:pos="259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 the Participant was principally employed immediately prior to the date on which a Change in Control occurs;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46" w:name="page47"/>
    <w:bookmarkEnd w:id="46"/>
    <w:p>
      <w:pPr>
        <w:jc w:val="both"/>
        <w:ind w:left="1300" w:firstLine="652"/>
        <w:spacing w:after="0" w:line="223" w:lineRule="auto"/>
        <w:tabs>
          <w:tab w:leader="none" w:pos="259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“Non-Section 409A Change in Control” </w:t>
      </w:r>
      <w:r>
        <w:rPr>
          <w:rFonts w:ascii="Arial" w:cs="Arial" w:eastAsia="Arial" w:hAnsi="Arial"/>
          <w:sz w:val="19"/>
          <w:szCs w:val="19"/>
          <w:color w:val="auto"/>
        </w:rPr>
        <w:t>means a Change in Control that is not a Section 409A Change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“Performance Goals” </w:t>
      </w:r>
      <w:r>
        <w:rPr>
          <w:rFonts w:ascii="Arial" w:cs="Arial" w:eastAsia="Arial" w:hAnsi="Arial"/>
          <w:sz w:val="22"/>
          <w:szCs w:val="22"/>
          <w:color w:val="auto"/>
        </w:rPr>
        <w:t>means the standards established by the Committee to determine in whole or in part</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the units of Common Stock under the RSU Award shall vest, which are specified in a separate document provided with this Award Agreement and made a part hereof for all purposes.</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means a Separation from Service (a) on or after attainment of age 55 and (b) with at least five years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Employment;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Separation from Service is not by the Company for Cause or due to Disability.</w:t>
      </w:r>
    </w:p>
    <w:p>
      <w:pPr>
        <w:spacing w:after="0" w:line="9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159" w:lineRule="exact"/>
        <w:rPr>
          <w:sz w:val="20"/>
          <w:szCs w:val="20"/>
          <w:color w:val="auto"/>
        </w:rPr>
      </w:pPr>
    </w:p>
    <w:p>
      <w:pPr>
        <w:ind w:left="1300" w:firstLine="652"/>
        <w:spacing w:after="0" w:line="232" w:lineRule="auto"/>
        <w:tabs>
          <w:tab w:leader="none" w:pos="259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191" w:lineRule="exact"/>
        <w:rPr>
          <w:sz w:val="20"/>
          <w:szCs w:val="20"/>
          <w:color w:val="auto"/>
        </w:rPr>
      </w:pPr>
    </w:p>
    <w:p>
      <w:pPr>
        <w:ind w:right="20" w:firstLine="1296"/>
        <w:spacing w:after="0" w:line="305"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93"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means the date of the Participant’s Separation from Service.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means one or more vesting dates as specified in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47" w:name="page48"/>
    <w:bookmarkEnd w:id="47"/>
    <w:p>
      <w:pPr>
        <w:jc w:val="both"/>
        <w:ind w:firstLine="1304"/>
        <w:spacing w:after="0" w:line="246" w:lineRule="auto"/>
        <w:tabs>
          <w:tab w:leader="none" w:pos="1944"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of RSU Award Account. </w:t>
      </w:r>
      <w:r>
        <w:rPr>
          <w:rFonts w:ascii="Arial" w:cs="Arial" w:eastAsia="Arial" w:hAnsi="Arial"/>
          <w:sz w:val="19"/>
          <w:szCs w:val="19"/>
          <w:color w:val="auto"/>
        </w:rPr>
        <w:t>The grant of units of Common Stock of the Company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Award Agreement shall be implemented by a credit to a bookkeeping account maintained by the Company evidencing the accrual in favor of the Participant of the unfunded and unsecured right to receive a corresponding number of shares of Common Stock, which right shall be subject to the terms, conditions and restrictions set forth in the Plan and to the further terms, conditions and restrictions set forth in this Award Agreement. Except as otherwise provided in Section 12 of this Award Agreement, the units of Common Stock credited to the Participant’s bookkeeping account may not be sold, assigned, transferred, pledged or otherwise encumbered until the Participant has been registered as the holder of shares of Common Stock on the records of the Company, as provided in Sections 4, 5, 6, or 7 of this Award Agreement.</w:t>
      </w:r>
    </w:p>
    <w:p>
      <w:pPr>
        <w:spacing w:after="0" w:line="152"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RSU Award. </w:t>
      </w:r>
      <w:r>
        <w:rPr>
          <w:rFonts w:ascii="Arial" w:cs="Arial" w:eastAsia="Arial" w:hAnsi="Arial"/>
          <w:sz w:val="22"/>
          <w:szCs w:val="22"/>
          <w:color w:val="auto"/>
        </w:rPr>
        <w:t>Unless earlier vested or forfeited pursuant to this Section 3 or Section 4 or 5</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Participant’s right to receive shares of Common Stock under this Award Agreement, if any, shall vest with respect to the number of units and on the Vesting Date(s) as shown in the following schedule, conditioned upon achievement of the applicable Performance Goals: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&lt;vesting_schedule&gt;</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No later than 60 days after each Vesting Date, the Committee shall determine the extent to which the applicable Performance Goals have been achieved. Upon completing its determination of the level at which the Performance Goals have been achieved, the Committee shall notify the Participant, in the form and manner as determined by the Committee, of the number of shares of Common Stock (if any) under this Award Agreement that will be issued to the Participant pursuant to Section 6. Except as provided in Sections 4 and 5 below, the Participant must be in continuous Employment during the period beginning on the Award Date and ending on the Vesting Date(s) in order for the units (as indicated above) of the RSU Award to vest on such Vesting Date(s); otherwise, all unvested units shall be forfeited as of the Participant’s Termination Date.</w:t>
      </w:r>
    </w:p>
    <w:p>
      <w:pPr>
        <w:spacing w:after="0" w:line="148" w:lineRule="exact"/>
        <w:rPr>
          <w:sz w:val="20"/>
          <w:szCs w:val="20"/>
          <w:color w:val="auto"/>
        </w:rPr>
      </w:pPr>
    </w:p>
    <w:p>
      <w:pPr>
        <w:ind w:left="1960" w:hanging="656"/>
        <w:spacing w:after="0"/>
        <w:tabs>
          <w:tab w:leader="none" w:pos="19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Separation from Service; Timing of Distribution.</w:t>
      </w:r>
    </w:p>
    <w:p>
      <w:pPr>
        <w:spacing w:after="0" w:line="185" w:lineRule="exact"/>
        <w:rPr>
          <w:sz w:val="20"/>
          <w:szCs w:val="20"/>
          <w:color w:val="auto"/>
        </w:rPr>
      </w:pPr>
    </w:p>
    <w:p>
      <w:pPr>
        <w:ind w:left="1940" w:hanging="636"/>
        <w:spacing w:after="0"/>
        <w:tabs>
          <w:tab w:leader="none" w:pos="1940"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Notwithstanding Section 3 above, if the Participant’s Termination Date occurs prior to</w:t>
      </w:r>
    </w:p>
    <w:p>
      <w:pPr>
        <w:spacing w:after="0" w:line="15" w:lineRule="exact"/>
        <w:rPr>
          <w:rFonts w:ascii="Arial" w:cs="Arial" w:eastAsia="Arial" w:hAnsi="Arial"/>
          <w:sz w:val="19"/>
          <w:szCs w:val="19"/>
          <w:color w:val="auto"/>
        </w:rPr>
      </w:pPr>
    </w:p>
    <w:p>
      <w:pPr>
        <w:jc w:val="both"/>
        <w:ind w:left="660" w:hanging="4"/>
        <w:spacing w:after="0" w:line="224" w:lineRule="auto"/>
        <w:tabs>
          <w:tab w:leader="none" w:pos="92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final Vesting Date and (ii) the occurrence of a vesting event described in Section 5(b), 5(c), or 5(d) (in connection with a Change in Control or a Sale of a Subsidiary), and is due to the Participant’s death or Separation from Service due to Disability, then, without regard to the Performance Goals, the Participant shall vest in the right to receive the total number of unvested units of Common Stock subject to this Award Agreement.</w:t>
      </w:r>
    </w:p>
    <w:p>
      <w:pPr>
        <w:spacing w:after="0" w:line="160" w:lineRule="exact"/>
        <w:rPr>
          <w:rFonts w:ascii="Arial" w:cs="Arial" w:eastAsia="Arial" w:hAnsi="Arial"/>
          <w:sz w:val="21"/>
          <w:szCs w:val="21"/>
          <w:color w:val="auto"/>
        </w:rPr>
      </w:pPr>
    </w:p>
    <w:p>
      <w:pPr>
        <w:jc w:val="both"/>
        <w:ind w:left="660" w:firstLine="644"/>
        <w:spacing w:after="0" w:line="244" w:lineRule="auto"/>
        <w:tabs>
          <w:tab w:leader="none" w:pos="1951"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Notwithstanding Section 3 above, if the Participant’s Termination Date occurs prior to (i) the final Vesting Date and (ii) the occurrence of a vesting event described in Section 5(b), 5(c), or 5(d) (in connection with a Change in Control or a Sale of a Subsidiary), and is due to the Participant’s Separation from Service due to Retirement, then the Participant shall vest in the right to receive a number, if any, of the shares of Common Stock (rounded up to the nearest whole share) with respect to the unvested portion of this RSU Award determined by multiplying (A) the total number of units of Common Stock covered by this RSU Award based upon the Committee’s determination of the achievement of the Performance Goals as provided in Section 3 by (B) a fraction, the numerator of which is the number of days that have elapsed from the Award Date to the Participant’s Termination Date, and the denominator of which is the total number of days from the Award Date until the final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0" w:right="339" w:bottom="1440" w:gutter="0" w:footer="0" w:header="0"/>
        </w:sectPr>
      </w:pPr>
    </w:p>
    <w:bookmarkStart w:id="48" w:name="page49"/>
    <w:bookmarkEnd w:id="48"/>
    <w:p>
      <w:pPr>
        <w:ind w:left="1760" w:hanging="636"/>
        <w:spacing w:after="0"/>
        <w:tabs>
          <w:tab w:leader="none" w:pos="176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20" w:firstLine="652"/>
        <w:spacing w:after="0" w:line="257" w:lineRule="auto"/>
        <w:tabs>
          <w:tab w:leader="none" w:pos="2411" w:val="left"/>
        </w:tabs>
        <w:numPr>
          <w:ilvl w:val="1"/>
          <w:numId w:val="107"/>
        </w:numPr>
        <w:rPr>
          <w:rFonts w:ascii="Arial" w:cs="Arial" w:eastAsia="Arial" w:hAnsi="Arial"/>
          <w:sz w:val="19"/>
          <w:szCs w:val="19"/>
          <w:color w:val="auto"/>
        </w:rPr>
      </w:pPr>
      <w:r>
        <w:rPr>
          <w:rFonts w:ascii="Arial" w:cs="Arial" w:eastAsia="Arial" w:hAnsi="Arial"/>
          <w:sz w:val="19"/>
          <w:szCs w:val="19"/>
          <w:i w:val="1"/>
          <w:iCs w:val="1"/>
          <w:color w:val="auto"/>
        </w:rPr>
        <w:t>Death or Disability</w:t>
      </w:r>
      <w:r>
        <w:rPr>
          <w:rFonts w:ascii="Arial" w:cs="Arial" w:eastAsia="Arial" w:hAnsi="Arial"/>
          <w:sz w:val="19"/>
          <w:szCs w:val="19"/>
          <w:color w:val="auto"/>
        </w:rPr>
        <w:t>. If the Participant is entitled to a benefit pursuant to Section 4(a) hereof due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Participant’s death or Separation from Service due to Disability, then the number of shares of Common Stock determined in accordance with the applicable provision of this Section 4 shall be distributed not later than the 70th day after the Participant’s Termination Date except as otherwise provided in Section 7.</w:t>
      </w:r>
    </w:p>
    <w:p>
      <w:pPr>
        <w:spacing w:after="0" w:line="144" w:lineRule="exact"/>
        <w:rPr>
          <w:rFonts w:ascii="Arial" w:cs="Arial" w:eastAsia="Arial" w:hAnsi="Arial"/>
          <w:sz w:val="19"/>
          <w:szCs w:val="19"/>
          <w:color w:val="auto"/>
        </w:rPr>
      </w:pPr>
    </w:p>
    <w:p>
      <w:pPr>
        <w:jc w:val="both"/>
        <w:ind w:left="1120" w:firstLine="652"/>
        <w:spacing w:after="0" w:line="216" w:lineRule="auto"/>
        <w:tabs>
          <w:tab w:leader="none" w:pos="2411" w:val="left"/>
        </w:tabs>
        <w:numPr>
          <w:ilvl w:val="1"/>
          <w:numId w:val="107"/>
        </w:numPr>
        <w:rPr>
          <w:rFonts w:ascii="Arial" w:cs="Arial" w:eastAsia="Arial" w:hAnsi="Arial"/>
          <w:sz w:val="22"/>
          <w:szCs w:val="22"/>
          <w:color w:val="auto"/>
        </w:rPr>
      </w:pPr>
      <w:r>
        <w:rPr>
          <w:rFonts w:ascii="Arial" w:cs="Arial" w:eastAsia="Arial" w:hAnsi="Arial"/>
          <w:sz w:val="22"/>
          <w:szCs w:val="22"/>
          <w:i w:val="1"/>
          <w:iCs w:val="1"/>
          <w:color w:val="auto"/>
        </w:rPr>
        <w:t>Retirement</w:t>
      </w:r>
      <w:r>
        <w:rPr>
          <w:rFonts w:ascii="Arial" w:cs="Arial" w:eastAsia="Arial" w:hAnsi="Arial"/>
          <w:sz w:val="22"/>
          <w:szCs w:val="22"/>
          <w:color w:val="auto"/>
        </w:rPr>
        <w:t>. If the Participant is entitled to a benefit pursuant to Section 4(b) hereof due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Separation from Service due to Retirement, then the number of shares of Common Stock determined in accordance with Section 4(b) shall be distributed on or within 70 days after the Vesting Date(s) upon which such units would be paid under Section 3 hereof assuming continuous Employment by the Participant as of such Vesting Date(s).</w:t>
      </w:r>
    </w:p>
    <w:p>
      <w:pPr>
        <w:spacing w:after="0" w:line="157" w:lineRule="exact"/>
        <w:rPr>
          <w:rFonts w:ascii="Arial" w:cs="Arial" w:eastAsia="Arial" w:hAnsi="Arial"/>
          <w:sz w:val="22"/>
          <w:szCs w:val="22"/>
          <w:color w:val="auto"/>
        </w:rPr>
      </w:pPr>
    </w:p>
    <w:p>
      <w:pPr>
        <w:jc w:val="both"/>
        <w:ind w:left="480" w:firstLine="644"/>
        <w:spacing w:after="0" w:line="218" w:lineRule="auto"/>
        <w:tabs>
          <w:tab w:leader="none" w:pos="177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Upon the date of distribution of shares of Common Stock under this Section 4, the Participant shall also be entitled to receive Dividend Equivalents for the period from the Award Date to the date such vested shares of Common Stock are distributed to the Participant (in accordance with the requirements of Section 409A, to the extent applicable).</w:t>
      </w:r>
    </w:p>
    <w:p>
      <w:pPr>
        <w:spacing w:after="0" w:line="155" w:lineRule="exact"/>
        <w:rPr>
          <w:sz w:val="20"/>
          <w:szCs w:val="20"/>
          <w:color w:val="auto"/>
        </w:rPr>
      </w:pPr>
    </w:p>
    <w:p>
      <w:pPr>
        <w:ind w:left="1780" w:hanging="656"/>
        <w:spacing w:after="0"/>
        <w:tabs>
          <w:tab w:leader="none" w:pos="178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left="480" w:firstLine="644"/>
        <w:spacing w:after="0" w:line="257" w:lineRule="auto"/>
        <w:tabs>
          <w:tab w:leader="none" w:pos="1773"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 Award Agreement or provide a substantially equivalent award in substitution for the units subject to this RSU Award.</w:t>
      </w:r>
    </w:p>
    <w:p>
      <w:pPr>
        <w:spacing w:after="0" w:line="144" w:lineRule="exact"/>
        <w:rPr>
          <w:rFonts w:ascii="Arial" w:cs="Arial" w:eastAsia="Arial" w:hAnsi="Arial"/>
          <w:sz w:val="19"/>
          <w:szCs w:val="19"/>
          <w:color w:val="auto"/>
        </w:rPr>
      </w:pPr>
    </w:p>
    <w:p>
      <w:pPr>
        <w:jc w:val="both"/>
        <w:ind w:left="480" w:firstLine="644"/>
        <w:spacing w:after="0" w:line="244" w:lineRule="auto"/>
        <w:tabs>
          <w:tab w:leader="none" w:pos="1771"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Vesting Upon a Change in Control</w:t>
      </w:r>
      <w:r>
        <w:rPr>
          <w:rFonts w:ascii="Arial" w:cs="Arial" w:eastAsia="Arial" w:hAnsi="Arial"/>
          <w:sz w:val="19"/>
          <w:szCs w:val="19"/>
          <w:color w:val="auto"/>
        </w:rPr>
        <w:t>. Notwithstanding any provision of this Award Agreement to the contrary and without regard to the Performance Goals, if (i) there is a Change in Control and the Change in Control Closing Date occurs prior to the final Vesting Date and prior to the Participant’s Separation from Service other than due to Retirement and (ii) the Acquiror does not assume or continue this RSU Award or provide a substantially equivalent award in substitution for this RSU Award pursuant to Section 5(a), then, upon the Change in Control Closing Date, the Participant’s right to receive the unvested units of Common Stock subject to this Award Agreement shall be fully vested. Notwithstanding the foregoing, in the event the Change in Control occurs after the Participant has had a Separation from Service due to Retirement, the number of shares of Common Stock such Participant shall receive under this Section 5(b) shall be pro-rated based on the number of days that elapsed from the Award Date to the Participant’s Termination Date over the total number of days from the Award Date until the final Vesting Date.</w:t>
      </w:r>
    </w:p>
    <w:p>
      <w:pPr>
        <w:spacing w:after="0" w:line="154" w:lineRule="exact"/>
        <w:rPr>
          <w:rFonts w:ascii="Arial" w:cs="Arial" w:eastAsia="Arial" w:hAnsi="Arial"/>
          <w:sz w:val="19"/>
          <w:szCs w:val="19"/>
          <w:color w:val="auto"/>
        </w:rPr>
      </w:pPr>
    </w:p>
    <w:p>
      <w:pPr>
        <w:jc w:val="both"/>
        <w:ind w:left="480" w:firstLine="644"/>
        <w:spacing w:after="0" w:line="218" w:lineRule="auto"/>
        <w:tabs>
          <w:tab w:leader="none" w:pos="1773"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Vesting Upon a Covered Termination</w:t>
      </w:r>
      <w:r>
        <w:rPr>
          <w:rFonts w:ascii="Arial" w:cs="Arial" w:eastAsia="Arial" w:hAnsi="Arial"/>
          <w:sz w:val="22"/>
          <w:szCs w:val="22"/>
          <w:color w:val="auto"/>
        </w:rPr>
        <w:t>. Notwithstanding any provision of this Award Agreement to the contrary and without regard to the Performance Goals, if the Participant experiences a Covered Termination prior to the final Vesting Date, then, upon the date of the Covered Termination, the Participant’s right to receive any unvested units of Common Stock subject to this Award Agreement shall be fully vested.</w:t>
      </w:r>
    </w:p>
    <w:p>
      <w:pPr>
        <w:spacing w:after="0" w:line="160" w:lineRule="exact"/>
        <w:rPr>
          <w:rFonts w:ascii="Arial" w:cs="Arial" w:eastAsia="Arial" w:hAnsi="Arial"/>
          <w:sz w:val="22"/>
          <w:szCs w:val="22"/>
          <w:color w:val="auto"/>
        </w:rPr>
      </w:pPr>
    </w:p>
    <w:p>
      <w:pPr>
        <w:jc w:val="both"/>
        <w:ind w:left="480" w:firstLine="644"/>
        <w:spacing w:after="0" w:line="223" w:lineRule="auto"/>
        <w:tabs>
          <w:tab w:leader="none" w:pos="177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Vesting Upon the Sale of a Subsidiary</w:t>
      </w:r>
      <w:r>
        <w:rPr>
          <w:rFonts w:ascii="Arial" w:cs="Arial" w:eastAsia="Arial" w:hAnsi="Arial"/>
          <w:sz w:val="22"/>
          <w:szCs w:val="22"/>
          <w:color w:val="auto"/>
        </w:rPr>
        <w:t>. Notwithstanding any provision of this Award Agreement to the contrary and without regard to the Performance Goals, if (i) there is a Sale of a Subsidiary with respect to the Participant prior to the final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266" w:right="339" w:bottom="1440" w:gutter="0" w:footer="0" w:header="0"/>
        </w:sectPr>
      </w:pPr>
    </w:p>
    <w:bookmarkStart w:id="49" w:name="page50"/>
    <w:bookmarkEnd w:id="49"/>
    <w:p>
      <w:pPr>
        <w:jc w:val="both"/>
        <w:ind w:left="480"/>
        <w:spacing w:after="0" w:line="246" w:lineRule="auto"/>
        <w:rPr>
          <w:sz w:val="20"/>
          <w:szCs w:val="20"/>
          <w:color w:val="auto"/>
        </w:rPr>
      </w:pPr>
      <w:r>
        <w:rPr>
          <w:rFonts w:ascii="Arial" w:cs="Arial" w:eastAsia="Arial" w:hAnsi="Arial"/>
          <w:sz w:val="19"/>
          <w:szCs w:val="19"/>
          <w:color w:val="auto"/>
        </w:rPr>
        <w:t>Date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 shall vest in the right to receive a number of the shares of Common Stock (rounded up to the nearest whole share) with respect to the unvested portion of this RSU Award determined by multiplying (A) the total number of units of Common Stock covered by this RSU Award by (B) a fraction, the numerator of which is the number of days that have elapsed from the Award Date to the date the Sale of a Subsidiary is consummated, and the denominator of which is the total number of days from the Award Date until the final Vesting Date. The Participant’s right to receive any additional shares pursuant to this Award Agreement shall be forfeited at such time.</w:t>
      </w:r>
    </w:p>
    <w:p>
      <w:pPr>
        <w:spacing w:after="0" w:line="152" w:lineRule="exact"/>
        <w:rPr>
          <w:sz w:val="20"/>
          <w:szCs w:val="20"/>
          <w:color w:val="auto"/>
        </w:rPr>
      </w:pPr>
    </w:p>
    <w:p>
      <w:pPr>
        <w:jc w:val="both"/>
        <w:ind w:left="480" w:right="20" w:firstLine="644"/>
        <w:spacing w:after="0" w:line="223" w:lineRule="auto"/>
        <w:tabs>
          <w:tab w:leader="none" w:pos="1773"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Distributions Upon a Change in Control or Sale of a Subsidiary</w:t>
      </w:r>
      <w:r>
        <w:rPr>
          <w:rFonts w:ascii="Arial" w:cs="Arial" w:eastAsia="Arial" w:hAnsi="Arial"/>
          <w:sz w:val="22"/>
          <w:szCs w:val="22"/>
          <w:color w:val="auto"/>
        </w:rPr>
        <w:t>. If the Participant is entitled to a benefit pursuant to Section 5(b), 5(c), or 5(d) hereof, then this RSU Award shall be settled by one or more distributions to the Participant of:</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 xml:space="preserve">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in the form of shares of Common Stock (rounded up to the nearest whole share) for the period commencing on the Award Date and ending on the date immediately preceding the date of the distribution.</w:t>
      </w:r>
    </w:p>
    <w:p>
      <w:pPr>
        <w:spacing w:after="0" w:line="159" w:lineRule="exact"/>
        <w:rPr>
          <w:sz w:val="20"/>
          <w:szCs w:val="20"/>
          <w:color w:val="auto"/>
        </w:rPr>
      </w:pPr>
    </w:p>
    <w:p>
      <w:pPr>
        <w:ind w:left="48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one or more cash payments equal to:</w:t>
      </w:r>
    </w:p>
    <w:p>
      <w:pPr>
        <w:spacing w:after="0" w:line="159" w:lineRule="exact"/>
        <w:rPr>
          <w:sz w:val="20"/>
          <w:szCs w:val="20"/>
          <w:color w:val="auto"/>
        </w:rPr>
      </w:pPr>
    </w:p>
    <w:p>
      <w:pPr>
        <w:jc w:val="both"/>
        <w:ind w:left="1120" w:firstLine="652"/>
        <w:spacing w:after="0" w:line="218" w:lineRule="auto"/>
        <w:tabs>
          <w:tab w:leader="none" w:pos="241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The product of (i) the Fair Market Value per share of Common Stock on the date immediately preceding the date of the distribution and (ii) 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120" w:firstLine="652"/>
        <w:spacing w:after="0" w:line="232" w:lineRule="auto"/>
        <w:tabs>
          <w:tab w:leader="none" w:pos="241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for the period commencing on the Award Date and ending on the date immediately preceding the date of the distribution.</w:t>
      </w:r>
    </w:p>
    <w:p>
      <w:pPr>
        <w:spacing w:after="0" w:line="159" w:lineRule="exact"/>
        <w:rPr>
          <w:sz w:val="20"/>
          <w:szCs w:val="20"/>
          <w:color w:val="auto"/>
        </w:rPr>
      </w:pPr>
    </w:p>
    <w:p>
      <w:pPr>
        <w:ind w:left="480" w:right="20"/>
        <w:spacing w:after="0" w:line="298" w:lineRule="auto"/>
        <w:rPr>
          <w:sz w:val="20"/>
          <w:szCs w:val="20"/>
          <w:color w:val="auto"/>
        </w:rPr>
      </w:pPr>
      <w:r>
        <w:rPr>
          <w:rFonts w:ascii="Arial" w:cs="Arial" w:eastAsia="Arial" w:hAnsi="Arial"/>
          <w:sz w:val="19"/>
          <w:szCs w:val="19"/>
          <w:color w:val="auto"/>
        </w:rPr>
        <w:t>Such distribution under this Section 5, whether in the form of shares of Common Stock or, if directed by the Committee, in cash, shall satisfy the rights of the Participant and the obligations of the Company under this Award Agreement in full.</w:t>
      </w:r>
    </w:p>
    <w:p>
      <w:pPr>
        <w:spacing w:after="0" w:line="105" w:lineRule="exact"/>
        <w:rPr>
          <w:sz w:val="20"/>
          <w:szCs w:val="20"/>
          <w:color w:val="auto"/>
        </w:rPr>
      </w:pPr>
    </w:p>
    <w:p>
      <w:pPr>
        <w:ind w:left="1780" w:hanging="656"/>
        <w:spacing w:after="0"/>
        <w:tabs>
          <w:tab w:leader="none" w:pos="178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p>
    <w:p>
      <w:pPr>
        <w:spacing w:after="0" w:line="179" w:lineRule="exact"/>
        <w:rPr>
          <w:rFonts w:ascii="Arial" w:cs="Arial" w:eastAsia="Arial" w:hAnsi="Arial"/>
          <w:sz w:val="22"/>
          <w:szCs w:val="22"/>
          <w:color w:val="auto"/>
        </w:rPr>
      </w:pPr>
    </w:p>
    <w:p>
      <w:pPr>
        <w:ind w:left="1120" w:firstLine="652"/>
        <w:spacing w:after="0" w:line="247" w:lineRule="auto"/>
        <w:tabs>
          <w:tab w:leader="none" w:pos="2411" w:val="left"/>
        </w:tabs>
        <w:numPr>
          <w:ilvl w:val="1"/>
          <w:numId w:val="112"/>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5(b),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5(e) on the Change in Control Payment Date.</w:t>
      </w:r>
    </w:p>
    <w:p>
      <w:pPr>
        <w:spacing w:after="0" w:line="150" w:lineRule="exact"/>
        <w:rPr>
          <w:rFonts w:ascii="Arial" w:cs="Arial" w:eastAsia="Arial" w:hAnsi="Arial"/>
          <w:sz w:val="21"/>
          <w:szCs w:val="21"/>
          <w:color w:val="auto"/>
        </w:rPr>
      </w:pPr>
    </w:p>
    <w:p>
      <w:pPr>
        <w:jc w:val="both"/>
        <w:ind w:left="1120" w:firstLine="652"/>
        <w:spacing w:after="0" w:line="234" w:lineRule="auto"/>
        <w:tabs>
          <w:tab w:leader="none" w:pos="2411" w:val="left"/>
        </w:tabs>
        <w:numPr>
          <w:ilvl w:val="1"/>
          <w:numId w:val="112"/>
        </w:numPr>
        <w:rPr>
          <w:rFonts w:ascii="Arial" w:cs="Arial" w:eastAsia="Arial" w:hAnsi="Arial"/>
          <w:sz w:val="21"/>
          <w:szCs w:val="21"/>
          <w:color w:val="auto"/>
        </w:rPr>
      </w:pPr>
      <w:r>
        <w:rPr>
          <w:rFonts w:ascii="Arial" w:cs="Arial" w:eastAsia="Arial" w:hAnsi="Arial"/>
          <w:sz w:val="21"/>
          <w:szCs w:val="21"/>
          <w:i w:val="1"/>
          <w:iCs w:val="1"/>
          <w:color w:val="auto"/>
        </w:rPr>
        <w:t>Covered Termination</w:t>
      </w:r>
      <w:r>
        <w:rPr>
          <w:rFonts w:ascii="Arial" w:cs="Arial" w:eastAsia="Arial" w:hAnsi="Arial"/>
          <w:sz w:val="21"/>
          <w:szCs w:val="21"/>
          <w:color w:val="auto"/>
        </w:rPr>
        <w:t>. If the Participant is entitled to a benefit pursuant to Section 5(c) on account</w:t>
      </w:r>
      <w:r>
        <w:rPr>
          <w:rFonts w:ascii="Arial" w:cs="Arial" w:eastAsia="Arial" w:hAnsi="Arial"/>
          <w:sz w:val="21"/>
          <w:szCs w:val="21"/>
          <w:i w:val="1"/>
          <w:iCs w:val="1"/>
          <w:color w:val="auto"/>
        </w:rPr>
        <w:t xml:space="preserve"> </w:t>
      </w:r>
      <w:r>
        <w:rPr>
          <w:rFonts w:ascii="Arial" w:cs="Arial" w:eastAsia="Arial" w:hAnsi="Arial"/>
          <w:sz w:val="21"/>
          <w:szCs w:val="21"/>
          <w:color w:val="auto"/>
        </w:rPr>
        <w:t>of a Covered Termination, distributions shall be made in accordance with Section 5(e) not later than the 70th day after the Participant’s Termination Date except as otherwise provided in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266" w:right="339" w:bottom="1440" w:gutter="0" w:footer="0" w:header="0"/>
        </w:sectPr>
      </w:pPr>
    </w:p>
    <w:bookmarkStart w:id="50" w:name="page51"/>
    <w:bookmarkEnd w:id="50"/>
    <w:p>
      <w:pPr>
        <w:jc w:val="both"/>
        <w:ind w:left="1120" w:firstLine="652"/>
        <w:spacing w:after="0" w:line="223" w:lineRule="auto"/>
        <w:tabs>
          <w:tab w:leader="none" w:pos="2411" w:val="left"/>
        </w:tabs>
        <w:numPr>
          <w:ilvl w:val="1"/>
          <w:numId w:val="113"/>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5(d),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5(e) not later than the 70th day after the date the Sale of a Subsidiary is consummated.</w:t>
      </w:r>
    </w:p>
    <w:p>
      <w:pPr>
        <w:spacing w:after="0" w:line="152" w:lineRule="exact"/>
        <w:rPr>
          <w:rFonts w:ascii="Arial" w:cs="Arial" w:eastAsia="Arial" w:hAnsi="Arial"/>
          <w:sz w:val="22"/>
          <w:szCs w:val="22"/>
          <w:color w:val="auto"/>
        </w:rPr>
      </w:pPr>
    </w:p>
    <w:p>
      <w:pPr>
        <w:jc w:val="both"/>
        <w:ind w:left="-180" w:firstLine="1304"/>
        <w:spacing w:after="0" w:line="225" w:lineRule="auto"/>
        <w:tabs>
          <w:tab w:leader="none" w:pos="1764"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RSU Award Under Section 3. </w:t>
      </w:r>
      <w:r>
        <w:rPr>
          <w:rFonts w:ascii="Arial" w:cs="Arial" w:eastAsia="Arial" w:hAnsi="Arial"/>
          <w:sz w:val="21"/>
          <w:szCs w:val="21"/>
          <w:color w:val="auto"/>
        </w:rPr>
        <w:t>Upon the vesting of the Participant’s right to receive a number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shares of Common Stock pursuant to Section 3 under this Award Agreement, such shares of Common Stock will be distributed not later than the 70th day after the applicable Vesting Date. Moreover, upon the date of distribution of shares of Common Stock, the Participant shall also be entitled to receive Dividend Equivalents for the period commencing on the Award Date and ending on the date such vested shares of Common Stock are distributed to the Participant (in accordance with the requirements of Section 409A, to the extent applicable).</w:t>
      </w:r>
    </w:p>
    <w:p>
      <w:pPr>
        <w:spacing w:after="0" w:line="153" w:lineRule="exact"/>
        <w:rPr>
          <w:rFonts w:ascii="Arial" w:cs="Arial" w:eastAsia="Arial" w:hAnsi="Arial"/>
          <w:sz w:val="21"/>
          <w:szCs w:val="21"/>
          <w:b w:val="1"/>
          <w:bCs w:val="1"/>
          <w:color w:val="auto"/>
        </w:rPr>
      </w:pPr>
    </w:p>
    <w:p>
      <w:pPr>
        <w:jc w:val="both"/>
        <w:ind w:left="-180" w:firstLine="1304"/>
        <w:spacing w:after="0" w:line="215" w:lineRule="auto"/>
        <w:tabs>
          <w:tab w:leader="none" w:pos="1764"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Delay of Distribution to Certain Participants. </w:t>
      </w:r>
      <w:r>
        <w:rPr>
          <w:rFonts w:ascii="Arial" w:cs="Arial" w:eastAsia="Arial" w:hAnsi="Arial"/>
          <w:sz w:val="22"/>
          <w:szCs w:val="22"/>
          <w:color w:val="auto"/>
        </w:rPr>
        <w:t>With respect to any benefits payable hereunder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Separation from Service (other than a Separation from Service due to the Participant’s death), if as of the Participant’s Termination Date, the Participant is a “specified employee” (within the meaning of Section 409A(a)(2)(B)), then such benefits shall not be distributed until the date that is the earlier of (x) the second business day following the end of the six-month period commencing on the Participant’s Termination Date or (y) the Participant’s date of death, if death occurs during such six-month period.</w:t>
      </w:r>
    </w:p>
    <w:p>
      <w:pPr>
        <w:spacing w:after="0" w:line="152" w:lineRule="exact"/>
        <w:rPr>
          <w:rFonts w:ascii="Arial" w:cs="Arial" w:eastAsia="Arial" w:hAnsi="Arial"/>
          <w:sz w:val="22"/>
          <w:szCs w:val="22"/>
          <w:b w:val="1"/>
          <w:bCs w:val="1"/>
          <w:color w:val="auto"/>
        </w:rPr>
      </w:pPr>
    </w:p>
    <w:p>
      <w:pPr>
        <w:jc w:val="both"/>
        <w:ind w:left="-180" w:firstLine="1304"/>
        <w:spacing w:after="0" w:line="215" w:lineRule="auto"/>
        <w:tabs>
          <w:tab w:leader="none" w:pos="1764"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780" w:hanging="656"/>
        <w:spacing w:after="0"/>
        <w:tabs>
          <w:tab w:leader="none" w:pos="178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p>
    <w:p>
      <w:pPr>
        <w:spacing w:after="0" w:line="185" w:lineRule="exact"/>
        <w:rPr>
          <w:sz w:val="20"/>
          <w:szCs w:val="20"/>
          <w:color w:val="auto"/>
        </w:rPr>
      </w:pPr>
    </w:p>
    <w:p>
      <w:pPr>
        <w:jc w:val="both"/>
        <w:ind w:left="480" w:firstLine="644"/>
        <w:spacing w:after="0" w:line="241" w:lineRule="auto"/>
        <w:tabs>
          <w:tab w:leader="none" w:pos="1773"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 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266" w:right="339" w:bottom="1440" w:gutter="0" w:footer="0" w:header="0"/>
        </w:sectPr>
      </w:pPr>
    </w:p>
    <w:bookmarkStart w:id="51" w:name="page52"/>
    <w:bookmarkEnd w:id="51"/>
    <w:p>
      <w:pPr>
        <w:jc w:val="both"/>
        <w:ind w:left="480"/>
        <w:spacing w:after="0" w:line="243" w:lineRule="auto"/>
        <w:rPr>
          <w:sz w:val="20"/>
          <w:szCs w:val="20"/>
          <w:color w:val="auto"/>
        </w:rPr>
      </w:pPr>
      <w:r>
        <w:rPr>
          <w:rFonts w:ascii="Arial" w:cs="Arial" w:eastAsia="Arial" w:hAnsi="Arial"/>
          <w:sz w:val="19"/>
          <w:szCs w:val="19"/>
          <w:color w:val="auto"/>
        </w:rPr>
        <w:t>information to the Government Agency, without notice to the Company. For purposes of this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59" w:lineRule="exact"/>
        <w:rPr>
          <w:sz w:val="20"/>
          <w:szCs w:val="20"/>
          <w:color w:val="auto"/>
        </w:rPr>
      </w:pPr>
    </w:p>
    <w:p>
      <w:pPr>
        <w:jc w:val="both"/>
        <w:ind w:left="480" w:firstLine="644"/>
        <w:spacing w:after="0" w:line="249" w:lineRule="auto"/>
        <w:tabs>
          <w:tab w:leader="none" w:pos="1771"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1" w:lineRule="exact"/>
        <w:rPr>
          <w:rFonts w:ascii="Arial" w:cs="Arial" w:eastAsia="Arial" w:hAnsi="Arial"/>
          <w:sz w:val="19"/>
          <w:szCs w:val="19"/>
          <w:color w:val="auto"/>
        </w:rPr>
      </w:pPr>
    </w:p>
    <w:p>
      <w:pPr>
        <w:ind w:left="1760" w:hanging="636"/>
        <w:spacing w:after="0"/>
        <w:tabs>
          <w:tab w:leader="none" w:pos="176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p>
    <w:p>
      <w:pPr>
        <w:spacing w:after="0" w:line="179" w:lineRule="exact"/>
        <w:rPr>
          <w:rFonts w:ascii="Arial" w:cs="Arial" w:eastAsia="Arial" w:hAnsi="Arial"/>
          <w:sz w:val="22"/>
          <w:szCs w:val="22"/>
          <w:color w:val="auto"/>
        </w:rPr>
      </w:pPr>
    </w:p>
    <w:p>
      <w:pPr>
        <w:jc w:val="both"/>
        <w:ind w:left="1120" w:firstLine="652"/>
        <w:spacing w:after="0" w:line="221" w:lineRule="auto"/>
        <w:tabs>
          <w:tab w:leader="none" w:pos="2411" w:val="left"/>
        </w:tabs>
        <w:numPr>
          <w:ilvl w:val="1"/>
          <w:numId w:val="116"/>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9(a))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the Participant had any actual contact while employed at the Company.</w:t>
      </w:r>
    </w:p>
    <w:p>
      <w:pPr>
        <w:spacing w:after="0" w:line="158" w:lineRule="exact"/>
        <w:rPr>
          <w:rFonts w:ascii="Arial" w:cs="Arial" w:eastAsia="Arial" w:hAnsi="Arial"/>
          <w:sz w:val="21"/>
          <w:szCs w:val="21"/>
          <w:color w:val="auto"/>
        </w:rPr>
      </w:pPr>
    </w:p>
    <w:p>
      <w:pPr>
        <w:jc w:val="both"/>
        <w:ind w:left="1120" w:firstLine="652"/>
        <w:spacing w:after="0" w:line="211" w:lineRule="auto"/>
        <w:tabs>
          <w:tab w:leader="none" w:pos="2411" w:val="left"/>
        </w:tabs>
        <w:numPr>
          <w:ilvl w:val="1"/>
          <w:numId w:val="116"/>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120" w:firstLine="652"/>
        <w:spacing w:after="0" w:line="268" w:lineRule="auto"/>
        <w:tabs>
          <w:tab w:leader="none" w:pos="2411" w:val="left"/>
        </w:tabs>
        <w:numPr>
          <w:ilvl w:val="1"/>
          <w:numId w:val="116"/>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9(c)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500" w:top="1266" w:right="339" w:bottom="1440" w:gutter="0" w:footer="0" w:header="0"/>
        </w:sectPr>
      </w:pPr>
    </w:p>
    <w:bookmarkStart w:id="52" w:name="page53"/>
    <w:bookmarkEnd w:id="52"/>
    <w:p>
      <w:pPr>
        <w:jc w:val="both"/>
        <w:ind w:left="660" w:firstLine="644"/>
        <w:spacing w:after="0" w:line="244" w:lineRule="auto"/>
        <w:tabs>
          <w:tab w:leader="none" w:pos="1951"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9, for which the Participant received valuable consideration 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4" w:lineRule="exact"/>
        <w:rPr>
          <w:rFonts w:ascii="Arial" w:cs="Arial" w:eastAsia="Arial" w:hAnsi="Arial"/>
          <w:sz w:val="19"/>
          <w:szCs w:val="19"/>
          <w:color w:val="auto"/>
        </w:rPr>
      </w:pPr>
    </w:p>
    <w:p>
      <w:pPr>
        <w:jc w:val="both"/>
        <w:ind w:left="660" w:firstLine="644"/>
        <w:spacing w:after="0" w:line="246" w:lineRule="auto"/>
        <w:tabs>
          <w:tab w:leader="none" w:pos="1953"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9, the Participant shall not be entitled to receive any amounts that would otherwise be payable to the Participant with respect to this RSU Award, and such amounts shall be forfeited. If the Participant violates any provision of this Section 9 after amounts under this RSU Award have been paid or if the Company learns of the violation after amounts under this RSU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9.</w:t>
      </w:r>
    </w:p>
    <w:p>
      <w:pPr>
        <w:spacing w:after="0" w:line="146" w:lineRule="exact"/>
        <w:rPr>
          <w:sz w:val="20"/>
          <w:szCs w:val="20"/>
          <w:color w:val="auto"/>
        </w:rPr>
      </w:pPr>
    </w:p>
    <w:p>
      <w:pPr>
        <w:jc w:val="both"/>
        <w:ind w:firstLine="1304"/>
        <w:spacing w:after="0" w:line="225" w:lineRule="auto"/>
        <w:tabs>
          <w:tab w:leader="none" w:pos="1944"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155" w:lineRule="exact"/>
        <w:rPr>
          <w:sz w:val="20"/>
          <w:szCs w:val="20"/>
          <w:color w:val="auto"/>
        </w:rPr>
      </w:pPr>
    </w:p>
    <w:p>
      <w:pPr>
        <w:jc w:val="both"/>
        <w:ind w:firstLine="1304"/>
        <w:spacing w:after="0" w:line="225" w:lineRule="auto"/>
        <w:tabs>
          <w:tab w:leader="none" w:pos="1932"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units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subject to this Award Agreement, unless and until the Participant is registered as the holder of such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units of Common Stock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6" w:right="339" w:bottom="1440" w:gutter="0" w:footer="0" w:header="0"/>
        </w:sectPr>
      </w:pPr>
    </w:p>
    <w:bookmarkStart w:id="53" w:name="page54"/>
    <w:bookmarkEnd w:id="53"/>
    <w:p>
      <w:pPr>
        <w:jc w:val="both"/>
        <w:ind w:left="-180" w:firstLine="1304"/>
        <w:spacing w:after="0" w:line="220" w:lineRule="auto"/>
        <w:tabs>
          <w:tab w:leader="none" w:pos="1764"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b w:val="1"/>
          <w:bCs w:val="1"/>
          <w:color w:val="auto"/>
        </w:rPr>
      </w:pPr>
    </w:p>
    <w:p>
      <w:pPr>
        <w:jc w:val="both"/>
        <w:ind w:left="-180" w:firstLine="1304"/>
        <w:spacing w:after="0" w:line="217" w:lineRule="auto"/>
        <w:tabs>
          <w:tab w:leader="none" w:pos="1764"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and will be interpreted and administered consistent therewith. Accordingly, (i) no adjustment to the RSU Award pursuant to Section 14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left="-180" w:firstLine="1304"/>
        <w:spacing w:after="0" w:line="253" w:lineRule="auto"/>
        <w:tabs>
          <w:tab w:leader="none" w:pos="1764"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60"/>
          </w:cols>
          <w:pgMar w:left="500" w:top="126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5"/>
          <w:szCs w:val="25"/>
          <w:b w:val="1"/>
          <w:bCs w:val="1"/>
          <w:color w:val="auto"/>
        </w:rPr>
        <w:t>CENTERPOINT ENERGY, INC.</w:t>
      </w:r>
    </w:p>
    <w:p>
      <w:pPr>
        <w:jc w:val="center"/>
        <w:spacing w:after="0" w:line="207" w:lineRule="auto"/>
        <w:rPr>
          <w:sz w:val="20"/>
          <w:szCs w:val="20"/>
          <w:color w:val="auto"/>
        </w:rPr>
      </w:pPr>
      <w:r>
        <w:rPr>
          <w:rFonts w:ascii="Arial" w:cs="Arial" w:eastAsia="Arial" w:hAnsi="Arial"/>
          <w:sz w:val="25"/>
          <w:szCs w:val="25"/>
          <w:b w:val="1"/>
          <w:bCs w:val="1"/>
          <w:color w:val="auto"/>
        </w:rPr>
        <w:t>2022 LONG TERM INCENTIVE PLAN</w:t>
      </w:r>
    </w:p>
    <w:p>
      <w:pPr>
        <w:jc w:val="center"/>
        <w:spacing w:after="0" w:line="217" w:lineRule="auto"/>
        <w:rPr>
          <w:sz w:val="20"/>
          <w:szCs w:val="20"/>
          <w:color w:val="auto"/>
        </w:rPr>
      </w:pPr>
      <w:r>
        <w:rPr>
          <w:rFonts w:ascii="Arial" w:cs="Arial" w:eastAsia="Arial" w:hAnsi="Arial"/>
          <w:sz w:val="22"/>
          <w:szCs w:val="22"/>
          <w:b w:val="1"/>
          <w:bCs w:val="1"/>
          <w:color w:val="auto"/>
        </w:rPr>
        <w:t>FORM OF RESTRICTED STOCK UNIT AWARD AGREEMENT FOR OFFICERS AND DIRECTOR EMPLOYEES (with Performance Goals)</w:t>
      </w:r>
    </w:p>
    <w:p>
      <w:pPr>
        <w:spacing w:after="0" w:line="181"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Pursuant to this Restricted Stock Unit Award Agreement (“Award Agreement”), </w:t>
      </w:r>
      <w:r>
        <w:rPr>
          <w:rFonts w:ascii="Arial" w:cs="Arial" w:eastAsia="Arial" w:hAnsi="Arial"/>
          <w:sz w:val="22"/>
          <w:szCs w:val="22"/>
          <w:b w:val="1"/>
          <w:bCs w:val="1"/>
          <w:color w:val="auto"/>
        </w:rPr>
        <w:t>CenterPoint Energy, Inc.</w:t>
      </w:r>
      <w:r>
        <w:rPr>
          <w:rFonts w:ascii="Arial" w:cs="Arial" w:eastAsia="Arial" w:hAnsi="Arial"/>
          <w:sz w:val="22"/>
          <w:szCs w:val="22"/>
          <w:color w:val="auto"/>
        </w:rPr>
        <w:t xml:space="preserve"> (the “Company”) hereby grants to &lt;first_name&gt; &lt;last_name&gt;, an employee of the Company, on &lt;award_date&gt; (the “Award Date”), a restricted stock unit award of &lt;shares_awarded&gt; units of Common Stock of the Company (the “RSU Award”) pursuant to the </w:t>
      </w:r>
      <w:r>
        <w:rPr>
          <w:rFonts w:ascii="Arial" w:cs="Arial" w:eastAsia="Arial" w:hAnsi="Arial"/>
          <w:sz w:val="22"/>
          <w:szCs w:val="22"/>
          <w:b w:val="1"/>
          <w:bCs w:val="1"/>
          <w:color w:val="auto"/>
        </w:rPr>
        <w:t xml:space="preserve">CenterPoint Energy, Inc. 2022 Long Term Incentive Plan </w:t>
      </w:r>
      <w:r>
        <w:rPr>
          <w:rFonts w:ascii="Arial" w:cs="Arial" w:eastAsia="Arial" w:hAnsi="Arial"/>
          <w:sz w:val="22"/>
          <w:szCs w:val="22"/>
          <w:color w:val="auto"/>
        </w:rPr>
        <w:t>(the “Plan”), conditioned upon the Company’s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established by the Committee and subject to the terms, conditions and restrictions described in the Plan and as follows:</w:t>
      </w:r>
    </w:p>
    <w:p>
      <w:pPr>
        <w:spacing w:after="0" w:line="152" w:lineRule="exact"/>
        <w:rPr>
          <w:sz w:val="20"/>
          <w:szCs w:val="20"/>
          <w:color w:val="auto"/>
        </w:rPr>
      </w:pPr>
    </w:p>
    <w:p>
      <w:pPr>
        <w:jc w:val="both"/>
        <w:ind w:firstLine="1304"/>
        <w:spacing w:after="0" w:line="248" w:lineRule="auto"/>
        <w:tabs>
          <w:tab w:leader="none" w:pos="1944"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the Plan; Definitions. </w:t>
      </w:r>
      <w:r>
        <w:rPr>
          <w:rFonts w:ascii="Arial" w:cs="Arial" w:eastAsia="Arial" w:hAnsi="Arial"/>
          <w:sz w:val="19"/>
          <w:szCs w:val="19"/>
          <w:color w:val="auto"/>
        </w:rPr>
        <w:t>This RSU Award is subject to all of the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 effect on the date hereof and administrative interpretations thereunder, if any, adopted by the Committee.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“Award Date” </w:t>
      </w:r>
      <w:r>
        <w:rPr>
          <w:rFonts w:ascii="Arial" w:cs="Arial" w:eastAsia="Arial" w:hAnsi="Arial"/>
          <w:sz w:val="19"/>
          <w:szCs w:val="19"/>
          <w:color w:val="auto"/>
        </w:rPr>
        <w:t>means the date this RSU Award is granted to the Participant as specified in this Award Agreement.</w:t>
      </w:r>
    </w:p>
    <w:p>
      <w:pPr>
        <w:spacing w:after="0" w:line="21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the Participant's (a) gross negligence in the performance of his or her duties, (b) intentional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Closing Date” </w:t>
      </w:r>
      <w:r>
        <w:rPr>
          <w:rFonts w:ascii="Arial" w:cs="Arial" w:eastAsia="Arial" w:hAnsi="Arial"/>
          <w:sz w:val="22"/>
          <w:szCs w:val="22"/>
          <w:color w:val="auto"/>
        </w:rPr>
        <w:t>means the date a Change in Control is consummated.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Payment Date” </w:t>
      </w:r>
      <w:r>
        <w:rPr>
          <w:rFonts w:ascii="Arial" w:cs="Arial" w:eastAsia="Arial" w:hAnsi="Arial"/>
          <w:sz w:val="22"/>
          <w:szCs w:val="22"/>
          <w:color w:val="auto"/>
        </w:rPr>
        <w:t>means the following:</w:t>
      </w:r>
    </w:p>
    <w:p>
      <w:pPr>
        <w:spacing w:after="0" w:line="185" w:lineRule="exact"/>
        <w:rPr>
          <w:sz w:val="20"/>
          <w:szCs w:val="20"/>
          <w:color w:val="auto"/>
        </w:rPr>
      </w:pPr>
    </w:p>
    <w:p>
      <w:pPr>
        <w:ind w:left="1300" w:firstLine="652"/>
        <w:spacing w:after="0" w:line="247" w:lineRule="auto"/>
        <w:tabs>
          <w:tab w:leader="none" w:pos="259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If the Change in Control is a Section 409A Change in Control, then the Change in Control Payment Date shall be not later than the 70th day after the Change in Control Closing Date; and</w:t>
      </w:r>
    </w:p>
    <w:p>
      <w:pPr>
        <w:spacing w:after="0" w:line="150" w:lineRule="exact"/>
        <w:rPr>
          <w:rFonts w:ascii="Arial" w:cs="Arial" w:eastAsia="Arial" w:hAnsi="Arial"/>
          <w:sz w:val="21"/>
          <w:szCs w:val="21"/>
          <w:color w:val="auto"/>
        </w:rPr>
      </w:pPr>
    </w:p>
    <w:p>
      <w:pPr>
        <w:jc w:val="both"/>
        <w:ind w:left="1300" w:firstLine="652"/>
        <w:spacing w:after="0" w:line="216" w:lineRule="auto"/>
        <w:tabs>
          <w:tab w:leader="none" w:pos="259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the Change in Control is a Non-Section 409A Change in Control, then the Change in Control Payment Date shall be the Vesting Date(s) on which the units are paid under Section 3 hereof for the number of units indicated in Section 3 assuming continuous Employment by the Participant as of such Vesting Date(s); provided, however, in the case of the Participant’s death or Separation from Service prior to the Vesting Date(s), all shares not previously</w:t>
      </w:r>
    </w:p>
    <w:p>
      <w:pPr>
        <w:sectPr>
          <w:pgSz w:w="11900" w:h="16838" w:orient="portrait"/>
          <w:cols w:equalWidth="0" w:num="1">
            <w:col w:w="11240"/>
          </w:cols>
          <w:pgMar w:left="320" w:top="1234" w:right="339" w:bottom="1440" w:gutter="0" w:footer="0" w:header="0"/>
        </w:sectPr>
      </w:pPr>
    </w:p>
    <w:bookmarkStart w:id="55" w:name="page56"/>
    <w:bookmarkEnd w:id="55"/>
    <w:p>
      <w:pPr>
        <w:ind w:left="1300" w:right="20"/>
        <w:spacing w:after="0" w:line="232" w:lineRule="auto"/>
        <w:rPr>
          <w:sz w:val="20"/>
          <w:szCs w:val="20"/>
          <w:color w:val="auto"/>
        </w:rPr>
      </w:pPr>
      <w:r>
        <w:rPr>
          <w:rFonts w:ascii="Arial" w:cs="Arial" w:eastAsia="Arial" w:hAnsi="Arial"/>
          <w:sz w:val="22"/>
          <w:szCs w:val="22"/>
          <w:color w:val="auto"/>
        </w:rPr>
        <w:t>paid shall be paid not later than the 70th day after the Participant’s Termination Date except as otherwise provided in Section 7.</w:t>
      </w:r>
    </w:p>
    <w:p>
      <w:pPr>
        <w:spacing w:after="0" w:line="15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“Covered Termination” </w:t>
      </w:r>
      <w:r>
        <w:rPr>
          <w:rFonts w:ascii="Arial" w:cs="Arial" w:eastAsia="Arial" w:hAnsi="Arial"/>
          <w:sz w:val="22"/>
          <w:szCs w:val="22"/>
          <w:color w:val="auto"/>
        </w:rPr>
        <w:t>means a Separation from Service that occurs within two years after the date upon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Control occurs and that does not result from any of the following:</w:t>
      </w:r>
    </w:p>
    <w:p>
      <w:pPr>
        <w:spacing w:after="0" w:line="159" w:lineRule="exact"/>
        <w:rPr>
          <w:sz w:val="20"/>
          <w:szCs w:val="20"/>
          <w:color w:val="auto"/>
        </w:rPr>
      </w:pPr>
    </w:p>
    <w:p>
      <w:pPr>
        <w:ind w:left="2600" w:hanging="648"/>
        <w:spacing w:after="0"/>
        <w:tabs>
          <w:tab w:leader="none" w:pos="2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death;</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Disability;</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involuntary termination for Cause; or</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resignation by the Participant, unless such resignation is for Good Reason.</w:t>
      </w:r>
    </w:p>
    <w:p>
      <w:pPr>
        <w:spacing w:after="0" w:line="17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both eligible for and in receipt of benefits under the Company's long-term disability plan.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300" w:firstLine="652"/>
        <w:spacing w:after="0" w:line="223" w:lineRule="auto"/>
        <w:tabs>
          <w:tab w:leader="none" w:pos="259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failure to maintain the Participant in the position, or a substantially equivalent position, with the Company and/or a Subsidiary, as the case may be,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significant adverse change in the authorities, powers, functions, responsibilities, duties, or reporting structure which the Participant held immediately prior to the Change in Control;</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significant reduction in the Participant’s annual base salary as in effect immediately prior to the date on which a Change in Control occurs;</w:t>
      </w:r>
    </w:p>
    <w:p>
      <w:pPr>
        <w:spacing w:after="0" w:line="158" w:lineRule="exact"/>
        <w:rPr>
          <w:rFonts w:ascii="Arial" w:cs="Arial" w:eastAsia="Arial" w:hAnsi="Arial"/>
          <w:sz w:val="22"/>
          <w:szCs w:val="22"/>
          <w:color w:val="auto"/>
        </w:rPr>
      </w:pPr>
    </w:p>
    <w:p>
      <w:pPr>
        <w:jc w:val="both"/>
        <w:ind w:left="1300" w:firstLine="652"/>
        <w:spacing w:after="0" w:line="214" w:lineRule="auto"/>
        <w:tabs>
          <w:tab w:leader="none" w:pos="25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significant reduction in the Participant’s qualified retirement benefits, nonqualified benefits and welfare benefits provided to the Participant immediately prior to the date on which a Change in Control occurs; provided, however, that a contemporaneous diminution of or reduction in qualified retirement benefits and/or welfare benefits which is of general application and which uniformly and contemporaneously reduces or diminishes the benefits of all covered employees shall be ignored and not be considered a reduction in remuneration for purposes of this paragraph (d);</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59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significant reduction in the Participant’s overall compensation opportunities (as contrasted with overall compensation actually paid or awarded) under a short-term incentive plan, a long-term incentive plan or other equity plan (or in such substitute or alternative plans) from that provided to the Participant immediately prior to the date on which a Change in Control occurs;</w:t>
      </w:r>
    </w:p>
    <w:p>
      <w:pPr>
        <w:spacing w:after="0" w:line="160" w:lineRule="exact"/>
        <w:rPr>
          <w:rFonts w:ascii="Arial" w:cs="Arial" w:eastAsia="Arial" w:hAnsi="Arial"/>
          <w:sz w:val="22"/>
          <w:szCs w:val="22"/>
          <w:color w:val="auto"/>
        </w:rPr>
      </w:pPr>
    </w:p>
    <w:p>
      <w:pPr>
        <w:jc w:val="both"/>
        <w:ind w:left="1300" w:firstLine="652"/>
        <w:spacing w:after="0" w:line="223" w:lineRule="auto"/>
        <w:tabs>
          <w:tab w:leader="none" w:pos="259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 from the location where the Participant was principally employed immediately prior to the date on which a Change in Control occurs;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56" w:name="page57"/>
    <w:bookmarkEnd w:id="56"/>
    <w:p>
      <w:pPr>
        <w:jc w:val="both"/>
        <w:ind w:left="1300" w:firstLine="652"/>
        <w:spacing w:after="0" w:line="223" w:lineRule="auto"/>
        <w:tabs>
          <w:tab w:leader="none" w:pos="259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 failure by the Company to provide directors and officers liability insurance covering the Participant comparable to that provided to the Participant immediately prior to the date on which a Change in Control occurs;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“Non-Section 409A Change in Control” </w:t>
      </w:r>
      <w:r>
        <w:rPr>
          <w:rFonts w:ascii="Arial" w:cs="Arial" w:eastAsia="Arial" w:hAnsi="Arial"/>
          <w:sz w:val="19"/>
          <w:szCs w:val="19"/>
          <w:color w:val="auto"/>
        </w:rPr>
        <w:t>means a Change in Control that is not a Section 409A Change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“Performance Goals” </w:t>
      </w:r>
      <w:r>
        <w:rPr>
          <w:rFonts w:ascii="Arial" w:cs="Arial" w:eastAsia="Arial" w:hAnsi="Arial"/>
          <w:sz w:val="22"/>
          <w:szCs w:val="22"/>
          <w:color w:val="auto"/>
        </w:rPr>
        <w:t>means the standards established by the Committee to determine in whole or in part</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the units of Common Stock under the RSU Award shall vest, which are specified in a separate document provided with this Award Agreement and made a part hereof for all purposes.</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means a Separation from Service (a) on or after attainment of age 55 and (b) with at least five years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Employment;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Separation from Service is not by the Company for Cause or due to Disability.</w:t>
      </w:r>
    </w:p>
    <w:p>
      <w:pPr>
        <w:spacing w:after="0" w:line="9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“Sale of a Subsidiary” </w:t>
      </w:r>
      <w:r>
        <w:rPr>
          <w:rFonts w:ascii="Arial" w:cs="Arial" w:eastAsia="Arial" w:hAnsi="Arial"/>
          <w:sz w:val="22"/>
          <w:szCs w:val="22"/>
          <w:color w:val="auto"/>
        </w:rPr>
        <w:t>means, with respect to the Subsidiary for which the Participant is performing services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applicable event, the occurrence of any of the following events:</w:t>
      </w:r>
    </w:p>
    <w:p>
      <w:pPr>
        <w:spacing w:after="0" w:line="159" w:lineRule="exact"/>
        <w:rPr>
          <w:sz w:val="20"/>
          <w:szCs w:val="20"/>
          <w:color w:val="auto"/>
        </w:rPr>
      </w:pPr>
    </w:p>
    <w:p>
      <w:pPr>
        <w:ind w:left="1300" w:firstLine="652"/>
        <w:spacing w:after="0" w:line="232" w:lineRule="auto"/>
        <w:tabs>
          <w:tab w:leader="none" w:pos="259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change in the ownership of such Subsidiary, as determined in accordance with Treasury Regulation § 1.409A-3(i)(5)(v) or</w:t>
      </w:r>
    </w:p>
    <w:p>
      <w:pPr>
        <w:spacing w:after="0" w:line="158" w:lineRule="exact"/>
        <w:rPr>
          <w:rFonts w:ascii="Arial" w:cs="Arial" w:eastAsia="Arial" w:hAnsi="Arial"/>
          <w:sz w:val="22"/>
          <w:szCs w:val="22"/>
          <w:color w:val="auto"/>
        </w:rPr>
      </w:pPr>
    </w:p>
    <w:p>
      <w:pPr>
        <w:ind w:left="1300" w:right="20" w:firstLine="652"/>
        <w:spacing w:after="0" w:line="232" w:lineRule="auto"/>
        <w:tabs>
          <w:tab w:leader="none" w:pos="259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such Subsidiary’s assets, as determined in accordance with Treasury Regulation § 1.409A-3(i)(5)(vii).</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If the Subsidiary is not a corporation, the above referenced Treasury Regulations may be applied by analogy in accordance with guidance issued under Section 409A.</w:t>
      </w:r>
    </w:p>
    <w:p>
      <w:pPr>
        <w:spacing w:after="0" w:line="15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“Section 16 Officer” </w:t>
      </w:r>
      <w:r>
        <w:rPr>
          <w:rFonts w:ascii="Arial" w:cs="Arial" w:eastAsia="Arial" w:hAnsi="Arial"/>
          <w:sz w:val="22"/>
          <w:szCs w:val="22"/>
          <w:color w:val="auto"/>
        </w:rPr>
        <w:t>means a Participant who is an “officer” within the meaning of Section 16 of the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Act as of the date notice of the Participant’s Retirement is provided in accordance with Section 4(c).</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191" w:lineRule="exact"/>
        <w:rPr>
          <w:sz w:val="20"/>
          <w:szCs w:val="20"/>
          <w:color w:val="auto"/>
        </w:rPr>
      </w:pPr>
    </w:p>
    <w:p>
      <w:pPr>
        <w:ind w:right="20" w:firstLine="1296"/>
        <w:spacing w:after="0" w:line="305" w:lineRule="auto"/>
        <w:rPr>
          <w:sz w:val="20"/>
          <w:szCs w:val="20"/>
          <w:color w:val="auto"/>
        </w:rPr>
      </w:pPr>
      <w:r>
        <w:rPr>
          <w:rFonts w:ascii="Arial" w:cs="Arial" w:eastAsia="Arial" w:hAnsi="Arial"/>
          <w:sz w:val="19"/>
          <w:szCs w:val="19"/>
          <w:b w:val="1"/>
          <w:bCs w:val="1"/>
          <w:color w:val="auto"/>
        </w:rPr>
        <w:t xml:space="preserve">“Section 409A Change in Control” </w:t>
      </w:r>
      <w:r>
        <w:rPr>
          <w:rFonts w:ascii="Arial" w:cs="Arial" w:eastAsia="Arial" w:hAnsi="Arial"/>
          <w:sz w:val="19"/>
          <w:szCs w:val="19"/>
          <w:color w:val="auto"/>
        </w:rPr>
        <w:t>means a Change in Control that satisfies the requirements of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for purposes of Code Section 409A(a)(2)(A)(v) and the Treasury regulations and guidance issued thereunder.</w:t>
      </w:r>
    </w:p>
    <w:p>
      <w:pPr>
        <w:spacing w:after="0" w:line="93"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57" w:name="page58"/>
    <w:bookmarkEnd w:id="57"/>
    <w:p>
      <w:pPr>
        <w:ind w:left="1300"/>
        <w:spacing w:after="0"/>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means the date of the Participant's Separation from Service.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means one or more vesting dates as specified in Section 3.</w:t>
      </w:r>
    </w:p>
    <w:p>
      <w:pPr>
        <w:spacing w:after="0" w:line="179" w:lineRule="exact"/>
        <w:rPr>
          <w:sz w:val="20"/>
          <w:szCs w:val="20"/>
          <w:color w:val="auto"/>
        </w:rPr>
      </w:pPr>
    </w:p>
    <w:p>
      <w:pPr>
        <w:jc w:val="both"/>
        <w:ind w:firstLine="1304"/>
        <w:spacing w:after="0" w:line="246" w:lineRule="auto"/>
        <w:tabs>
          <w:tab w:leader="none" w:pos="1944"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of RSU Award Account. </w:t>
      </w:r>
      <w:r>
        <w:rPr>
          <w:rFonts w:ascii="Arial" w:cs="Arial" w:eastAsia="Arial" w:hAnsi="Arial"/>
          <w:sz w:val="19"/>
          <w:szCs w:val="19"/>
          <w:color w:val="auto"/>
        </w:rPr>
        <w:t>The grant of units of Common Stock of the Company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Award Agreement shall be implemented by a credit to a bookkeeping account maintained by the Company evidencing the accrual in favor of the Participant of the unfunded and unsecured right to receive a corresponding number of shares of Common Stock, which right shall be subject to the terms, conditions and restrictions set forth in the Plan and to the further terms, conditions and restrictions set forth in this Award Agreement. Except as otherwise provided in Section 12 of this Award Agreement, the units of Common Stock credited to the Participant's bookkeeping account may not be sold, assigned, transferred, pledged or otherwise encumbered until the Participant has been registered as the holder of shares of Common Stock on the records of the Company, as provided in Sections 4, 5, 6, or 7 of this Award Agreement.</w:t>
      </w:r>
    </w:p>
    <w:p>
      <w:pPr>
        <w:spacing w:after="0" w:line="152"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RSU Award. </w:t>
      </w:r>
      <w:r>
        <w:rPr>
          <w:rFonts w:ascii="Arial" w:cs="Arial" w:eastAsia="Arial" w:hAnsi="Arial"/>
          <w:sz w:val="22"/>
          <w:szCs w:val="22"/>
          <w:color w:val="auto"/>
        </w:rPr>
        <w:t>Unless earlier vested or forfeited pursuant to this Section 3 or Section 4 or 5</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Participant's right to receive shares of Common Stock under this Award Agreement, if any, shall vest with respect to the number of units and on the Vesting Date(s) as shown in the following schedule, conditioned upon achievement of the applicable Performance Goals: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&lt;vesting_schedule&gt;</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No later than 60 days after each Vesting Date, the Committee shall determine the extent to which the applicable Performance Goals have been achieved. Upon completing its determination of the level at which the Performance Goals have been achieved, the Committee shall notify the Participant, in the form and manner as determined by the Committee, of the number of shares of Common Stock (if any) under this Award Agreement that will be issued to the Participant pursuant to Section 6. Except as provided in Sections 4 and 5 below, the Participant must be in continuous Employment during the period beginning on the Award Date and ending on the Vesting Date(s) in order for the units (as indicated above) of the RSU Award to vest on such Vesting Date(s); otherwise, all unvested units shall be forfeited as of the Participant’s Termination Date.</w:t>
      </w:r>
    </w:p>
    <w:p>
      <w:pPr>
        <w:spacing w:after="0" w:line="148" w:lineRule="exact"/>
        <w:rPr>
          <w:sz w:val="20"/>
          <w:szCs w:val="20"/>
          <w:color w:val="auto"/>
        </w:rPr>
      </w:pPr>
    </w:p>
    <w:p>
      <w:pPr>
        <w:ind w:left="1960" w:hanging="656"/>
        <w:spacing w:after="0"/>
        <w:tabs>
          <w:tab w:leader="none" w:pos="19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Separation from Service; Timing of Distribution.</w:t>
      </w:r>
    </w:p>
    <w:p>
      <w:pPr>
        <w:spacing w:after="0" w:line="185" w:lineRule="exact"/>
        <w:rPr>
          <w:sz w:val="20"/>
          <w:szCs w:val="20"/>
          <w:color w:val="auto"/>
        </w:rPr>
      </w:pPr>
    </w:p>
    <w:p>
      <w:pPr>
        <w:ind w:left="1940" w:hanging="636"/>
        <w:spacing w:after="0"/>
        <w:tabs>
          <w:tab w:leader="none" w:pos="1940"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Notwithstanding Section 3 above, if the Participant’s Termination Date occurs prior to</w:t>
      </w:r>
    </w:p>
    <w:p>
      <w:pPr>
        <w:spacing w:after="0" w:line="15" w:lineRule="exact"/>
        <w:rPr>
          <w:rFonts w:ascii="Arial" w:cs="Arial" w:eastAsia="Arial" w:hAnsi="Arial"/>
          <w:sz w:val="19"/>
          <w:szCs w:val="19"/>
          <w:color w:val="auto"/>
        </w:rPr>
      </w:pPr>
    </w:p>
    <w:p>
      <w:pPr>
        <w:jc w:val="both"/>
        <w:ind w:left="660" w:hanging="4"/>
        <w:spacing w:after="0" w:line="224" w:lineRule="auto"/>
        <w:tabs>
          <w:tab w:leader="none" w:pos="927"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final Vesting Date and (ii) the occurrence of a vesting event described in Section 5(b), 5(c), or 5(d) (in connection with a Change in Control or a Sale of a Subsidiary), and is due to the Participant’s death or Separation from Service due to Disability, then, without regard to the Performance Goals, the Participant shall vest in the right to receive the total number of unvested units of Common Stock subject to this Award Agreement.</w:t>
      </w:r>
    </w:p>
    <w:p>
      <w:pPr>
        <w:spacing w:after="0" w:line="160" w:lineRule="exact"/>
        <w:rPr>
          <w:rFonts w:ascii="Arial" w:cs="Arial" w:eastAsia="Arial" w:hAnsi="Arial"/>
          <w:sz w:val="21"/>
          <w:szCs w:val="21"/>
          <w:color w:val="auto"/>
        </w:rPr>
      </w:pPr>
    </w:p>
    <w:p>
      <w:pPr>
        <w:jc w:val="both"/>
        <w:ind w:left="660" w:firstLine="644"/>
        <w:spacing w:after="0" w:line="221" w:lineRule="auto"/>
        <w:tabs>
          <w:tab w:leader="none" w:pos="1951"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Retirement</w:t>
      </w:r>
      <w:r>
        <w:rPr>
          <w:rFonts w:ascii="Arial" w:cs="Arial" w:eastAsia="Arial" w:hAnsi="Arial"/>
          <w:sz w:val="21"/>
          <w:szCs w:val="21"/>
          <w:color w:val="auto"/>
        </w:rPr>
        <w:t>. Notwithstanding Section 3 above, if the Participant's Termination Date occurs prior to (i) the final Vesting Date and (ii) the occurrence of a vesting event described in Section 5(b), 5(c), or 5(d) (in connection with a Change in Control or a Sale of a Subsidiary), and is due to the Participant's Separation from Service due to Retirement, then the Participant shall vest in the right to receive a number, if any, of the shares of Common Stock (rounded up to the nearest whole share) with respect to the unvested portion of this RSU Award determined by multiplying (A) the total number of units of Common Stock covered by this RSU Award based upon the Committee’s determination of the achievement of the Performance Goals as provided in Section 3 by (B) a fraction, the numerator of which is the number of days that have elapsed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0" w:right="339" w:bottom="1440" w:gutter="0" w:footer="0" w:header="0"/>
        </w:sectPr>
      </w:pPr>
    </w:p>
    <w:bookmarkStart w:id="58" w:name="page59"/>
    <w:bookmarkEnd w:id="58"/>
    <w:p>
      <w:pPr>
        <w:ind w:left="480" w:right="20"/>
        <w:spacing w:after="0" w:line="232" w:lineRule="auto"/>
        <w:rPr>
          <w:sz w:val="20"/>
          <w:szCs w:val="20"/>
          <w:color w:val="auto"/>
        </w:rPr>
      </w:pPr>
      <w:r>
        <w:rPr>
          <w:rFonts w:ascii="Arial" w:cs="Arial" w:eastAsia="Arial" w:hAnsi="Arial"/>
          <w:sz w:val="22"/>
          <w:szCs w:val="22"/>
          <w:color w:val="auto"/>
        </w:rPr>
        <w:t>Award Date to the Participant’s Termination Date, and the denominator of which is the total number of days from the Award Date until the final Vesting Date.</w:t>
      </w:r>
    </w:p>
    <w:p>
      <w:pPr>
        <w:spacing w:after="0" w:line="159" w:lineRule="exact"/>
        <w:rPr>
          <w:sz w:val="20"/>
          <w:szCs w:val="20"/>
          <w:color w:val="auto"/>
        </w:rPr>
      </w:pPr>
    </w:p>
    <w:p>
      <w:pPr>
        <w:jc w:val="both"/>
        <w:ind w:left="480" w:firstLine="644"/>
        <w:spacing w:after="0" w:line="226" w:lineRule="auto"/>
        <w:tabs>
          <w:tab w:leader="none" w:pos="1773"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Enhanced Retirement</w:t>
      </w:r>
      <w:r>
        <w:rPr>
          <w:rFonts w:ascii="Arial" w:cs="Arial" w:eastAsia="Arial" w:hAnsi="Arial"/>
          <w:sz w:val="21"/>
          <w:szCs w:val="21"/>
          <w:color w:val="auto"/>
        </w:rPr>
        <w:t>. If the Participant is otherwise entitled to a benefit pursuant to Section 4(b) hereof due to the Participant’s Retirement and the requirements set forth under paragraph (1) or (2) below, as applicable, are satisfied, then in lieu of the benefits set forth in Section 4(b), the Participant shall vest in the right to receive the total number, if any, of unvested units of Common Stock subject to this Award Agreement based upon the Committee’s determination of the achievement of the Performance Goals as provided in Section 3.</w:t>
      </w:r>
    </w:p>
    <w:p>
      <w:pPr>
        <w:spacing w:after="0" w:line="159" w:lineRule="exact"/>
        <w:rPr>
          <w:rFonts w:ascii="Arial" w:cs="Arial" w:eastAsia="Arial" w:hAnsi="Arial"/>
          <w:sz w:val="21"/>
          <w:szCs w:val="21"/>
          <w:color w:val="auto"/>
        </w:rPr>
      </w:pPr>
    </w:p>
    <w:p>
      <w:pPr>
        <w:ind w:left="1120" w:firstLine="652"/>
        <w:spacing w:after="0" w:line="232" w:lineRule="auto"/>
        <w:tabs>
          <w:tab w:leader="none" w:pos="241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This paragraph (1) applies if the Participant is not a Section 16 Officer, and the requirements of this paragraph are satisfied if:</w:t>
      </w:r>
    </w:p>
    <w:p>
      <w:pPr>
        <w:spacing w:after="0" w:line="158" w:lineRule="exact"/>
        <w:rPr>
          <w:rFonts w:ascii="Arial" w:cs="Arial" w:eastAsia="Arial" w:hAnsi="Arial"/>
          <w:sz w:val="22"/>
          <w:szCs w:val="22"/>
          <w:color w:val="auto"/>
        </w:rPr>
      </w:pPr>
    </w:p>
    <w:p>
      <w:pPr>
        <w:ind w:left="3060" w:hanging="640"/>
        <w:spacing w:after="0"/>
        <w:tabs>
          <w:tab w:leader="none" w:pos="3060"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sum of the Participants age and years of Employment is 65 or greater;</w:t>
      </w:r>
    </w:p>
    <w:p>
      <w:pPr>
        <w:spacing w:after="0" w:line="179" w:lineRule="exact"/>
        <w:rPr>
          <w:rFonts w:ascii="Arial" w:cs="Arial" w:eastAsia="Arial" w:hAnsi="Arial"/>
          <w:sz w:val="22"/>
          <w:szCs w:val="22"/>
          <w:color w:val="auto"/>
        </w:rPr>
      </w:pPr>
    </w:p>
    <w:p>
      <w:pPr>
        <w:ind w:left="3060" w:right="20" w:hanging="640"/>
        <w:spacing w:after="0" w:line="232" w:lineRule="auto"/>
        <w:tabs>
          <w:tab w:leader="none" w:pos="3054"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Participant’s Termination Date occurs on or after the January 1 immediately following the Award Date;</w:t>
      </w:r>
    </w:p>
    <w:p>
      <w:pPr>
        <w:spacing w:after="0" w:line="158" w:lineRule="exact"/>
        <w:rPr>
          <w:rFonts w:ascii="Arial" w:cs="Arial" w:eastAsia="Arial" w:hAnsi="Arial"/>
          <w:sz w:val="22"/>
          <w:szCs w:val="22"/>
          <w:color w:val="auto"/>
        </w:rPr>
      </w:pPr>
    </w:p>
    <w:p>
      <w:pPr>
        <w:ind w:left="3060" w:hanging="640"/>
        <w:spacing w:after="0"/>
        <w:tabs>
          <w:tab w:leader="none" w:pos="3060"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Participant provides to the Company a transition plan; and</w:t>
      </w:r>
    </w:p>
    <w:p>
      <w:pPr>
        <w:spacing w:after="0" w:line="179" w:lineRule="exact"/>
        <w:rPr>
          <w:rFonts w:ascii="Arial" w:cs="Arial" w:eastAsia="Arial" w:hAnsi="Arial"/>
          <w:sz w:val="22"/>
          <w:szCs w:val="22"/>
          <w:color w:val="auto"/>
        </w:rPr>
      </w:pPr>
    </w:p>
    <w:p>
      <w:pPr>
        <w:ind w:left="3060" w:right="20" w:hanging="640"/>
        <w:spacing w:after="0" w:line="232" w:lineRule="auto"/>
        <w:tabs>
          <w:tab w:leader="none" w:pos="3048"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Participant provides the Company at least six months’ written notice of the Participant’s Retirement.</w:t>
      </w:r>
    </w:p>
    <w:p>
      <w:pPr>
        <w:spacing w:after="0" w:line="158" w:lineRule="exact"/>
        <w:rPr>
          <w:rFonts w:ascii="Arial" w:cs="Arial" w:eastAsia="Arial" w:hAnsi="Arial"/>
          <w:sz w:val="22"/>
          <w:szCs w:val="22"/>
          <w:color w:val="auto"/>
        </w:rPr>
      </w:pPr>
    </w:p>
    <w:p>
      <w:pPr>
        <w:jc w:val="both"/>
        <w:ind w:left="1120" w:firstLine="652"/>
        <w:spacing w:after="0" w:line="214" w:lineRule="auto"/>
        <w:tabs>
          <w:tab w:leader="none" w:pos="241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This paragraph (2) applies if the Participant is a Section 16 Officer, and the requirements of this paragraph are satisfied if: (x) the Participant satisfies (i), (ii), and (iii) under paragraph (1) above; (y) the Participant provides reasonable advance written notice (as determined by the Committee) of the Participant’s Retirement to the Chief Human Resources Officer; and (z) the Committee approves providing the benefits set forth in this Section 4(c) above, whose approval must occur prior to the Participant’s Termination Date and is at the sole discretion of the Committee.</w:t>
      </w:r>
    </w:p>
    <w:p>
      <w:pPr>
        <w:spacing w:after="0" w:line="158" w:lineRule="exact"/>
        <w:rPr>
          <w:rFonts w:ascii="Arial" w:cs="Arial" w:eastAsia="Arial" w:hAnsi="Arial"/>
          <w:sz w:val="22"/>
          <w:szCs w:val="22"/>
          <w:color w:val="auto"/>
        </w:rPr>
      </w:pPr>
    </w:p>
    <w:p>
      <w:pPr>
        <w:ind w:left="1760" w:hanging="636"/>
        <w:spacing w:after="0"/>
        <w:tabs>
          <w:tab w:leader="none" w:pos="17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20" w:firstLine="652"/>
        <w:spacing w:after="0" w:line="257" w:lineRule="auto"/>
        <w:tabs>
          <w:tab w:leader="none" w:pos="2411" w:val="left"/>
        </w:tabs>
        <w:numPr>
          <w:ilvl w:val="1"/>
          <w:numId w:val="131"/>
        </w:numPr>
        <w:rPr>
          <w:rFonts w:ascii="Arial" w:cs="Arial" w:eastAsia="Arial" w:hAnsi="Arial"/>
          <w:sz w:val="19"/>
          <w:szCs w:val="19"/>
          <w:color w:val="auto"/>
        </w:rPr>
      </w:pPr>
      <w:r>
        <w:rPr>
          <w:rFonts w:ascii="Arial" w:cs="Arial" w:eastAsia="Arial" w:hAnsi="Arial"/>
          <w:sz w:val="19"/>
          <w:szCs w:val="19"/>
          <w:i w:val="1"/>
          <w:iCs w:val="1"/>
          <w:color w:val="auto"/>
        </w:rPr>
        <w:t>Death or Disability</w:t>
      </w:r>
      <w:r>
        <w:rPr>
          <w:rFonts w:ascii="Arial" w:cs="Arial" w:eastAsia="Arial" w:hAnsi="Arial"/>
          <w:sz w:val="19"/>
          <w:szCs w:val="19"/>
          <w:color w:val="auto"/>
        </w:rPr>
        <w:t>. If the Participant is entitled to a benefit pursuant to Section 4(a) hereof due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Participant’s death or Separation from Service due to Disability, then the number of shares of Common Stock determined in accordance with the applicable provision of this Section 4 shall be distributed not later than the 70th day after the Participant’s Termination Date except as otherwise provided in Section 7.</w:t>
      </w:r>
    </w:p>
    <w:p>
      <w:pPr>
        <w:spacing w:after="0" w:line="144" w:lineRule="exact"/>
        <w:rPr>
          <w:rFonts w:ascii="Arial" w:cs="Arial" w:eastAsia="Arial" w:hAnsi="Arial"/>
          <w:sz w:val="19"/>
          <w:szCs w:val="19"/>
          <w:color w:val="auto"/>
        </w:rPr>
      </w:pPr>
    </w:p>
    <w:p>
      <w:pPr>
        <w:jc w:val="both"/>
        <w:ind w:left="1120" w:firstLine="652"/>
        <w:spacing w:after="0" w:line="226" w:lineRule="auto"/>
        <w:tabs>
          <w:tab w:leader="none" w:pos="2411" w:val="left"/>
        </w:tabs>
        <w:numPr>
          <w:ilvl w:val="1"/>
          <w:numId w:val="131"/>
        </w:numPr>
        <w:rPr>
          <w:rFonts w:ascii="Arial" w:cs="Arial" w:eastAsia="Arial" w:hAnsi="Arial"/>
          <w:sz w:val="21"/>
          <w:szCs w:val="21"/>
          <w:color w:val="auto"/>
        </w:rPr>
      </w:pPr>
      <w:r>
        <w:rPr>
          <w:rFonts w:ascii="Arial" w:cs="Arial" w:eastAsia="Arial" w:hAnsi="Arial"/>
          <w:sz w:val="21"/>
          <w:szCs w:val="21"/>
          <w:i w:val="1"/>
          <w:iCs w:val="1"/>
          <w:color w:val="auto"/>
        </w:rPr>
        <w:t>Retirement</w:t>
      </w:r>
      <w:r>
        <w:rPr>
          <w:rFonts w:ascii="Arial" w:cs="Arial" w:eastAsia="Arial" w:hAnsi="Arial"/>
          <w:sz w:val="21"/>
          <w:szCs w:val="21"/>
          <w:color w:val="auto"/>
        </w:rPr>
        <w:t>. If the Participant is entitled to a benefit pursuant to Section 4(b) or Section 4(c) hereof</w:t>
      </w:r>
      <w:r>
        <w:rPr>
          <w:rFonts w:ascii="Arial" w:cs="Arial" w:eastAsia="Arial" w:hAnsi="Arial"/>
          <w:sz w:val="21"/>
          <w:szCs w:val="21"/>
          <w:i w:val="1"/>
          <w:iCs w:val="1"/>
          <w:color w:val="auto"/>
        </w:rPr>
        <w:t xml:space="preserve"> </w:t>
      </w:r>
      <w:r>
        <w:rPr>
          <w:rFonts w:ascii="Arial" w:cs="Arial" w:eastAsia="Arial" w:hAnsi="Arial"/>
          <w:sz w:val="21"/>
          <w:szCs w:val="21"/>
          <w:color w:val="auto"/>
        </w:rPr>
        <w:t>due to the Participant’s Separation from Service due to Retirement, then the number of shares of Common Stock determined in accordance with Section 4(b) or Section 4(c), as applicable, shall be distributed on or within 70 days after the Vesting Date(s) upon which such units would be paid under Section 3 hereof assuming continuous Employment by the Participant as of such Vesting Date(s).</w:t>
      </w:r>
    </w:p>
    <w:p>
      <w:pPr>
        <w:spacing w:after="0" w:line="159" w:lineRule="exact"/>
        <w:rPr>
          <w:rFonts w:ascii="Arial" w:cs="Arial" w:eastAsia="Arial" w:hAnsi="Arial"/>
          <w:sz w:val="21"/>
          <w:szCs w:val="21"/>
          <w:color w:val="auto"/>
        </w:rPr>
      </w:pPr>
    </w:p>
    <w:p>
      <w:pPr>
        <w:jc w:val="both"/>
        <w:ind w:left="480" w:firstLine="644"/>
        <w:spacing w:after="0" w:line="223" w:lineRule="auto"/>
        <w:tabs>
          <w:tab w:leader="none" w:pos="1773"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Upon the date of distribution of shares of Common Stock under this Section 4, the Participant shall also be entitled to receive Dividend Equivalents for the period from the Award Date to the date such vested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266" w:right="339" w:bottom="1440" w:gutter="0" w:footer="0" w:header="0"/>
        </w:sectPr>
      </w:pPr>
    </w:p>
    <w:bookmarkStart w:id="59" w:name="page60"/>
    <w:bookmarkEnd w:id="59"/>
    <w:p>
      <w:pPr>
        <w:ind w:left="480"/>
        <w:spacing w:after="0" w:line="232" w:lineRule="auto"/>
        <w:rPr>
          <w:sz w:val="20"/>
          <w:szCs w:val="20"/>
          <w:color w:val="auto"/>
        </w:rPr>
      </w:pPr>
      <w:r>
        <w:rPr>
          <w:rFonts w:ascii="Arial" w:cs="Arial" w:eastAsia="Arial" w:hAnsi="Arial"/>
          <w:sz w:val="22"/>
          <w:szCs w:val="22"/>
          <w:color w:val="auto"/>
        </w:rPr>
        <w:t>Common Stock are distributed to the Participant (in accordance with the requirements of Section 409A, to the extent applicable).</w:t>
      </w:r>
    </w:p>
    <w:p>
      <w:pPr>
        <w:spacing w:after="0" w:line="153" w:lineRule="exact"/>
        <w:rPr>
          <w:sz w:val="20"/>
          <w:szCs w:val="20"/>
          <w:color w:val="auto"/>
        </w:rPr>
      </w:pPr>
    </w:p>
    <w:p>
      <w:pPr>
        <w:ind w:left="1780" w:hanging="656"/>
        <w:spacing w:after="0"/>
        <w:tabs>
          <w:tab w:leader="none" w:pos="178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left="480" w:firstLine="644"/>
        <w:spacing w:after="0" w:line="257" w:lineRule="auto"/>
        <w:tabs>
          <w:tab w:leader="none" w:pos="1773"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Assumption or Substitution</w:t>
      </w:r>
      <w:r>
        <w:rPr>
          <w:rFonts w:ascii="Arial" w:cs="Arial" w:eastAsia="Arial" w:hAnsi="Arial"/>
          <w:sz w:val="19"/>
          <w:szCs w:val="19"/>
          <w:color w:val="auto"/>
        </w:rPr>
        <w:t>. In the event of a Change in Control, the surviving, continuing, successor, or purchasing corporation or other business entity or parent thereof, as the case may be (the "Acquiror"), may, without the Participant’s consent, either assume or continue the Company’s rights and obligations under this Award Agreement or provide a substantially equivalent award in substitution for the units subject to this RSU Award.</w:t>
      </w:r>
    </w:p>
    <w:p>
      <w:pPr>
        <w:spacing w:after="0" w:line="144" w:lineRule="exact"/>
        <w:rPr>
          <w:rFonts w:ascii="Arial" w:cs="Arial" w:eastAsia="Arial" w:hAnsi="Arial"/>
          <w:sz w:val="19"/>
          <w:szCs w:val="19"/>
          <w:color w:val="auto"/>
        </w:rPr>
      </w:pPr>
    </w:p>
    <w:p>
      <w:pPr>
        <w:jc w:val="both"/>
        <w:ind w:left="480" w:firstLine="644"/>
        <w:spacing w:after="0" w:line="219" w:lineRule="auto"/>
        <w:tabs>
          <w:tab w:leader="none" w:pos="1771"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Vesting Upon a Change in Control</w:t>
      </w:r>
      <w:r>
        <w:rPr>
          <w:rFonts w:ascii="Arial" w:cs="Arial" w:eastAsia="Arial" w:hAnsi="Arial"/>
          <w:sz w:val="21"/>
          <w:szCs w:val="21"/>
          <w:color w:val="auto"/>
        </w:rPr>
        <w:t>. Notwithstanding any provision of this Award Agreement to the contrary and without regard to the Performance Goals, if (i) there is a Change in Control and the Change in Control Closing Date occurs prior to the final Vesting Date and prior to the Participant’s Separation from Service other than due to Retirement and (ii) the Acquiror does not assume or continue this RSU Award or provide a substantially equivalent award in substitution for this RSU Award pursuant to Section 5(a), then, upon the Change in Control Closing Date, the Participant’s right to receive the unvested units of Common Stock subject to this Award Agreement shall be fully vested. Notwithstanding the foregoing, in the event the Change in Control occurs after the Participant has had a Separation from Service due to Retirement, unless the applicable requirements set forth in Section 4(c) are satisfied, the number of shares of Common Stock such Participant shall receive under this Section 5(b) shall be pro-rated based on the number of days that elapsed from the Award Date to the Participant’s Termination Date over the total number of days from the Award Date until the final Vesting Date.</w:t>
      </w:r>
    </w:p>
    <w:p>
      <w:pPr>
        <w:spacing w:after="0" w:line="168" w:lineRule="exact"/>
        <w:rPr>
          <w:rFonts w:ascii="Arial" w:cs="Arial" w:eastAsia="Arial" w:hAnsi="Arial"/>
          <w:sz w:val="21"/>
          <w:szCs w:val="21"/>
          <w:color w:val="auto"/>
        </w:rPr>
      </w:pPr>
    </w:p>
    <w:p>
      <w:pPr>
        <w:jc w:val="both"/>
        <w:ind w:left="480" w:firstLine="644"/>
        <w:spacing w:after="0" w:line="218" w:lineRule="auto"/>
        <w:tabs>
          <w:tab w:leader="none" w:pos="1773"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Vesting Upon a Covered Termination</w:t>
      </w:r>
      <w:r>
        <w:rPr>
          <w:rFonts w:ascii="Arial" w:cs="Arial" w:eastAsia="Arial" w:hAnsi="Arial"/>
          <w:sz w:val="22"/>
          <w:szCs w:val="22"/>
          <w:color w:val="auto"/>
        </w:rPr>
        <w:t>. Notwithstanding any provision of this Award Agreement to the contrary and without regard to the Performance Goals, if the Participant experiences a Covered Termination prior to the final Vesting Date, then, upon the date of the Covered Termination, the Participant’s right to receive any unvested units of Common Stock subject to this Award Agreement shall be fully vested.</w:t>
      </w:r>
    </w:p>
    <w:p>
      <w:pPr>
        <w:spacing w:after="0" w:line="160" w:lineRule="exact"/>
        <w:rPr>
          <w:rFonts w:ascii="Arial" w:cs="Arial" w:eastAsia="Arial" w:hAnsi="Arial"/>
          <w:sz w:val="22"/>
          <w:szCs w:val="22"/>
          <w:color w:val="auto"/>
        </w:rPr>
      </w:pPr>
    </w:p>
    <w:p>
      <w:pPr>
        <w:jc w:val="both"/>
        <w:ind w:left="480" w:firstLine="644"/>
        <w:spacing w:after="0" w:line="219" w:lineRule="auto"/>
        <w:tabs>
          <w:tab w:leader="none" w:pos="1771"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Vesting Upon the Sale of a Subsidiary</w:t>
      </w:r>
      <w:r>
        <w:rPr>
          <w:rFonts w:ascii="Arial" w:cs="Arial" w:eastAsia="Arial" w:hAnsi="Arial"/>
          <w:sz w:val="21"/>
          <w:szCs w:val="21"/>
          <w:color w:val="auto"/>
        </w:rPr>
        <w:t>. Notwithstanding any provision of this Award Agreement to the contrary and without regard to the Performance Goals, if (i) there is a Sale of a Subsidiary with respect to the Participant prior to the final Vesting Date and (ii) the Participant’s employment with the Company and all Subsidiaries (other than any entity that ceases to be a Subsidiary as a result of the Sale of a Subsidiary) ceases upon and in connection with such Sale of a Subsidiary, then upon such Sale of a Subsidiary, the Participant shall vest in the right to receive a number of the shares of Common Stock (rounded up to the nearest whole share) with respect to the unvested portion of this RSU Award determined by multiplying (A) the total number of units of Common Stock covered by this RSU Award by (B) a fraction, the numerator of which is the number of days that have elapsed from the Award Date to the date the Sale of a Subsidiary is consummated, and the denominator of which is the total number of days from the Award Date until the final Vesting Date. The Participant’s right to receive any additional shares pursuant to this Award Agreement shall be forfeited at such time.</w:t>
      </w:r>
    </w:p>
    <w:p>
      <w:pPr>
        <w:spacing w:after="0" w:line="168" w:lineRule="exact"/>
        <w:rPr>
          <w:rFonts w:ascii="Arial" w:cs="Arial" w:eastAsia="Arial" w:hAnsi="Arial"/>
          <w:sz w:val="21"/>
          <w:szCs w:val="21"/>
          <w:color w:val="auto"/>
        </w:rPr>
      </w:pPr>
    </w:p>
    <w:p>
      <w:pPr>
        <w:jc w:val="both"/>
        <w:ind w:left="480" w:right="20" w:firstLine="644"/>
        <w:spacing w:after="0" w:line="223" w:lineRule="auto"/>
        <w:tabs>
          <w:tab w:leader="none" w:pos="1773"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Distributions Upon a Change in Control or Sale of a Subsidiary</w:t>
      </w:r>
      <w:r>
        <w:rPr>
          <w:rFonts w:ascii="Arial" w:cs="Arial" w:eastAsia="Arial" w:hAnsi="Arial"/>
          <w:sz w:val="22"/>
          <w:szCs w:val="22"/>
          <w:color w:val="auto"/>
        </w:rPr>
        <w:t>. If the Participant is entitled to a benefit pursuant to Section 5(b), 5(c), or 5(d) hereof, then this RSU Award shall be settled by one or more distributions to the Participant of:</w:t>
      </w:r>
    </w:p>
    <w:p>
      <w:pPr>
        <w:spacing w:after="0" w:line="158" w:lineRule="exact"/>
        <w:rPr>
          <w:rFonts w:ascii="Arial" w:cs="Arial" w:eastAsia="Arial" w:hAnsi="Arial"/>
          <w:sz w:val="22"/>
          <w:szCs w:val="22"/>
          <w:color w:val="auto"/>
        </w:rPr>
      </w:pPr>
    </w:p>
    <w:p>
      <w:pPr>
        <w:jc w:val="both"/>
        <w:ind w:left="1120" w:firstLine="652"/>
        <w:spacing w:after="0" w:line="223" w:lineRule="auto"/>
        <w:tabs>
          <w:tab w:leader="none" w:pos="241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266" w:right="339" w:bottom="1440" w:gutter="0" w:footer="0" w:header="0"/>
        </w:sectPr>
      </w:pPr>
    </w:p>
    <w:bookmarkStart w:id="60" w:name="page61"/>
    <w:bookmarkEnd w:id="60"/>
    <w:p>
      <w:pPr>
        <w:jc w:val="both"/>
        <w:ind w:left="1120" w:firstLine="652"/>
        <w:spacing w:after="0" w:line="223" w:lineRule="auto"/>
        <w:tabs>
          <w:tab w:leader="none" w:pos="241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in the form of shares of Common Stock (rounded up to the nearest whole share) for the period commencing on the Award Date and ending on the date immediately preceding the date of the distribution.</w:t>
      </w:r>
    </w:p>
    <w:p>
      <w:pPr>
        <w:spacing w:after="0" w:line="159" w:lineRule="exact"/>
        <w:rPr>
          <w:sz w:val="20"/>
          <w:szCs w:val="20"/>
          <w:color w:val="auto"/>
        </w:rPr>
      </w:pPr>
    </w:p>
    <w:p>
      <w:pPr>
        <w:ind w:left="480"/>
        <w:spacing w:after="0" w:line="232" w:lineRule="auto"/>
        <w:rPr>
          <w:sz w:val="20"/>
          <w:szCs w:val="20"/>
          <w:color w:val="auto"/>
        </w:rPr>
      </w:pPr>
      <w:r>
        <w:rPr>
          <w:rFonts w:ascii="Arial" w:cs="Arial" w:eastAsia="Arial" w:hAnsi="Arial"/>
          <w:sz w:val="22"/>
          <w:szCs w:val="22"/>
          <w:color w:val="auto"/>
        </w:rPr>
        <w:t>In lieu of the foregoing distribution in shares, the Committee, in its sole discretion, may direct that such distribution be made to the Participant in one or more cash payments equal to:</w:t>
      </w:r>
    </w:p>
    <w:p>
      <w:pPr>
        <w:spacing w:after="0" w:line="159" w:lineRule="exact"/>
        <w:rPr>
          <w:sz w:val="20"/>
          <w:szCs w:val="20"/>
          <w:color w:val="auto"/>
        </w:rPr>
      </w:pPr>
    </w:p>
    <w:p>
      <w:pPr>
        <w:jc w:val="both"/>
        <w:ind w:left="1120" w:firstLine="652"/>
        <w:spacing w:after="0" w:line="218" w:lineRule="auto"/>
        <w:tabs>
          <w:tab w:leader="none" w:pos="241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product of (i) the Fair Market Value per share of Common Stock on the date immediately preceding the date of the distribution and (ii) the number of units of Common Stock subject to this Award Agreement not previously vested or forfeited pursuant to Sections 3 or 4 above (or such pro-rated amount as set forth in Section 5(b) or 5(d), if applicable),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120" w:firstLine="652"/>
        <w:spacing w:after="0" w:line="232" w:lineRule="auto"/>
        <w:tabs>
          <w:tab w:leader="none" w:pos="241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Dividend Equivalents on such units of Common Stock for the period commencing on the Award Date and ending on the date immediately preceding the date of the distribution.</w:t>
      </w:r>
    </w:p>
    <w:p>
      <w:pPr>
        <w:spacing w:after="0" w:line="159" w:lineRule="exact"/>
        <w:rPr>
          <w:sz w:val="20"/>
          <w:szCs w:val="20"/>
          <w:color w:val="auto"/>
        </w:rPr>
      </w:pPr>
    </w:p>
    <w:p>
      <w:pPr>
        <w:ind w:left="480" w:right="20"/>
        <w:spacing w:after="0" w:line="298" w:lineRule="auto"/>
        <w:rPr>
          <w:sz w:val="20"/>
          <w:szCs w:val="20"/>
          <w:color w:val="auto"/>
        </w:rPr>
      </w:pPr>
      <w:r>
        <w:rPr>
          <w:rFonts w:ascii="Arial" w:cs="Arial" w:eastAsia="Arial" w:hAnsi="Arial"/>
          <w:sz w:val="19"/>
          <w:szCs w:val="19"/>
          <w:color w:val="auto"/>
        </w:rPr>
        <w:t>Such distribution under this Section 5, whether in the form of shares of Common Stock or, if directed by the Committee, in cash, shall satisfy the rights of the Participant and the obligations of the Company under this Award Agreement in full.</w:t>
      </w:r>
    </w:p>
    <w:p>
      <w:pPr>
        <w:spacing w:after="0" w:line="105" w:lineRule="exact"/>
        <w:rPr>
          <w:sz w:val="20"/>
          <w:szCs w:val="20"/>
          <w:color w:val="auto"/>
        </w:rPr>
      </w:pPr>
    </w:p>
    <w:p>
      <w:pPr>
        <w:ind w:left="1780" w:hanging="656"/>
        <w:spacing w:after="0"/>
        <w:tabs>
          <w:tab w:leader="none" w:pos="178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p>
    <w:p>
      <w:pPr>
        <w:spacing w:after="0" w:line="179" w:lineRule="exact"/>
        <w:rPr>
          <w:rFonts w:ascii="Arial" w:cs="Arial" w:eastAsia="Arial" w:hAnsi="Arial"/>
          <w:sz w:val="22"/>
          <w:szCs w:val="22"/>
          <w:color w:val="auto"/>
        </w:rPr>
      </w:pPr>
    </w:p>
    <w:p>
      <w:pPr>
        <w:ind w:left="1120" w:firstLine="652"/>
        <w:spacing w:after="0" w:line="247" w:lineRule="auto"/>
        <w:tabs>
          <w:tab w:leader="none" w:pos="2411" w:val="left"/>
        </w:tabs>
        <w:numPr>
          <w:ilvl w:val="1"/>
          <w:numId w:val="136"/>
        </w:numPr>
        <w:rPr>
          <w:rFonts w:ascii="Arial" w:cs="Arial" w:eastAsia="Arial" w:hAnsi="Arial"/>
          <w:sz w:val="21"/>
          <w:szCs w:val="21"/>
          <w:color w:val="auto"/>
        </w:rPr>
      </w:pPr>
      <w:r>
        <w:rPr>
          <w:rFonts w:ascii="Arial" w:cs="Arial" w:eastAsia="Arial" w:hAnsi="Arial"/>
          <w:sz w:val="21"/>
          <w:szCs w:val="21"/>
          <w:i w:val="1"/>
          <w:iCs w:val="1"/>
          <w:color w:val="auto"/>
        </w:rPr>
        <w:t>No Assumption or Substitution</w:t>
      </w:r>
      <w:r>
        <w:rPr>
          <w:rFonts w:ascii="Arial" w:cs="Arial" w:eastAsia="Arial" w:hAnsi="Arial"/>
          <w:sz w:val="21"/>
          <w:szCs w:val="21"/>
          <w:color w:val="auto"/>
        </w:rPr>
        <w:t>. If the Participant is entitled to a benefit pursuant to Section 5(b),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shall be made in accordance with Section 5(e) on the Change in Control Payment Date.</w:t>
      </w:r>
    </w:p>
    <w:p>
      <w:pPr>
        <w:spacing w:after="0" w:line="150" w:lineRule="exact"/>
        <w:rPr>
          <w:rFonts w:ascii="Arial" w:cs="Arial" w:eastAsia="Arial" w:hAnsi="Arial"/>
          <w:sz w:val="21"/>
          <w:szCs w:val="21"/>
          <w:color w:val="auto"/>
        </w:rPr>
      </w:pPr>
    </w:p>
    <w:p>
      <w:pPr>
        <w:jc w:val="both"/>
        <w:ind w:left="1120" w:firstLine="652"/>
        <w:spacing w:after="0" w:line="234" w:lineRule="auto"/>
        <w:tabs>
          <w:tab w:leader="none" w:pos="2411" w:val="left"/>
        </w:tabs>
        <w:numPr>
          <w:ilvl w:val="1"/>
          <w:numId w:val="136"/>
        </w:numPr>
        <w:rPr>
          <w:rFonts w:ascii="Arial" w:cs="Arial" w:eastAsia="Arial" w:hAnsi="Arial"/>
          <w:sz w:val="21"/>
          <w:szCs w:val="21"/>
          <w:color w:val="auto"/>
        </w:rPr>
      </w:pPr>
      <w:r>
        <w:rPr>
          <w:rFonts w:ascii="Arial" w:cs="Arial" w:eastAsia="Arial" w:hAnsi="Arial"/>
          <w:sz w:val="21"/>
          <w:szCs w:val="21"/>
          <w:i w:val="1"/>
          <w:iCs w:val="1"/>
          <w:color w:val="auto"/>
        </w:rPr>
        <w:t>Covered Termination</w:t>
      </w:r>
      <w:r>
        <w:rPr>
          <w:rFonts w:ascii="Arial" w:cs="Arial" w:eastAsia="Arial" w:hAnsi="Arial"/>
          <w:sz w:val="21"/>
          <w:szCs w:val="21"/>
          <w:color w:val="auto"/>
        </w:rPr>
        <w:t>. If the Participant is entitled to a benefit pursuant to Section 5(c) on account</w:t>
      </w:r>
      <w:r>
        <w:rPr>
          <w:rFonts w:ascii="Arial" w:cs="Arial" w:eastAsia="Arial" w:hAnsi="Arial"/>
          <w:sz w:val="21"/>
          <w:szCs w:val="21"/>
          <w:i w:val="1"/>
          <w:iCs w:val="1"/>
          <w:color w:val="auto"/>
        </w:rPr>
        <w:t xml:space="preserve"> </w:t>
      </w:r>
      <w:r>
        <w:rPr>
          <w:rFonts w:ascii="Arial" w:cs="Arial" w:eastAsia="Arial" w:hAnsi="Arial"/>
          <w:sz w:val="21"/>
          <w:szCs w:val="21"/>
          <w:color w:val="auto"/>
        </w:rPr>
        <w:t>of a Covered Termination, distributions shall be made in accordance with Section 5(e) not later than the 70th day after the Participant’s Termination Date except as otherwise provided in Section 7.</w:t>
      </w:r>
    </w:p>
    <w:p>
      <w:pPr>
        <w:spacing w:after="0" w:line="157" w:lineRule="exact"/>
        <w:rPr>
          <w:rFonts w:ascii="Arial" w:cs="Arial" w:eastAsia="Arial" w:hAnsi="Arial"/>
          <w:sz w:val="21"/>
          <w:szCs w:val="21"/>
          <w:color w:val="auto"/>
        </w:rPr>
      </w:pPr>
    </w:p>
    <w:p>
      <w:pPr>
        <w:jc w:val="both"/>
        <w:ind w:left="1120" w:firstLine="652"/>
        <w:spacing w:after="0" w:line="223" w:lineRule="auto"/>
        <w:tabs>
          <w:tab w:leader="none" w:pos="2411" w:val="left"/>
        </w:tabs>
        <w:numPr>
          <w:ilvl w:val="1"/>
          <w:numId w:val="136"/>
        </w:numPr>
        <w:rPr>
          <w:rFonts w:ascii="Arial" w:cs="Arial" w:eastAsia="Arial" w:hAnsi="Arial"/>
          <w:sz w:val="22"/>
          <w:szCs w:val="22"/>
          <w:color w:val="auto"/>
        </w:rPr>
      </w:pPr>
      <w:r>
        <w:rPr>
          <w:rFonts w:ascii="Arial" w:cs="Arial" w:eastAsia="Arial" w:hAnsi="Arial"/>
          <w:sz w:val="22"/>
          <w:szCs w:val="22"/>
          <w:i w:val="1"/>
          <w:iCs w:val="1"/>
          <w:color w:val="auto"/>
        </w:rPr>
        <w:t>Sale of a Subsidiary</w:t>
      </w:r>
      <w:r>
        <w:rPr>
          <w:rFonts w:ascii="Arial" w:cs="Arial" w:eastAsia="Arial" w:hAnsi="Arial"/>
          <w:sz w:val="22"/>
          <w:szCs w:val="22"/>
          <w:color w:val="auto"/>
        </w:rPr>
        <w:t>. If the Participant is entitled to a benefit pursuant to Section 5(d),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in accordance with Section 5(e) not later than the 70th day after the date the Sale of a Subsidiary is consummated.</w:t>
      </w:r>
    </w:p>
    <w:p>
      <w:pPr>
        <w:spacing w:after="0" w:line="153" w:lineRule="exact"/>
        <w:rPr>
          <w:sz w:val="20"/>
          <w:szCs w:val="20"/>
          <w:color w:val="auto"/>
        </w:rPr>
      </w:pPr>
    </w:p>
    <w:p>
      <w:pPr>
        <w:jc w:val="both"/>
        <w:ind w:left="-180" w:firstLine="1304"/>
        <w:spacing w:after="0" w:line="225" w:lineRule="auto"/>
        <w:tabs>
          <w:tab w:leader="none" w:pos="1764" w:val="left"/>
        </w:tabs>
        <w:numPr>
          <w:ilvl w:val="0"/>
          <w:numId w:val="13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RSU Award Under Section 3. </w:t>
      </w:r>
      <w:r>
        <w:rPr>
          <w:rFonts w:ascii="Arial" w:cs="Arial" w:eastAsia="Arial" w:hAnsi="Arial"/>
          <w:sz w:val="21"/>
          <w:szCs w:val="21"/>
          <w:color w:val="auto"/>
        </w:rPr>
        <w:t>Upon the vesting of the Participant’s right to receive a number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shares of Common Stock pursuant to Section 3 under this Award Agreement, such shares of Common Stock will be distributed not later than the 70th day after the applicable Vesting Date. Moreover, upon the date of distribution of shares of Common Stock, the Participant shall also be entitled to receive Dividend Equivalents for the period commencing on the Award Date and ending on the date such vested shares of Common Stock are distributed to the Participant (in accordance with the requirements of Section 409A, to the extent applicable).</w:t>
      </w:r>
    </w:p>
    <w:p>
      <w:pPr>
        <w:spacing w:after="0" w:line="153" w:lineRule="exact"/>
        <w:rPr>
          <w:rFonts w:ascii="Arial" w:cs="Arial" w:eastAsia="Arial" w:hAnsi="Arial"/>
          <w:sz w:val="21"/>
          <w:szCs w:val="21"/>
          <w:b w:val="1"/>
          <w:bCs w:val="1"/>
          <w:color w:val="auto"/>
        </w:rPr>
      </w:pPr>
    </w:p>
    <w:p>
      <w:pPr>
        <w:jc w:val="both"/>
        <w:ind w:left="-180" w:firstLine="1304"/>
        <w:spacing w:after="0" w:line="217" w:lineRule="auto"/>
        <w:tabs>
          <w:tab w:leader="none" w:pos="1764"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Delay of Distribution to Certain Participants. </w:t>
      </w:r>
      <w:r>
        <w:rPr>
          <w:rFonts w:ascii="Arial" w:cs="Arial" w:eastAsia="Arial" w:hAnsi="Arial"/>
          <w:sz w:val="22"/>
          <w:szCs w:val="22"/>
          <w:color w:val="auto"/>
        </w:rPr>
        <w:t>With respect to any benefits payable hereunder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Separation from Service (other than a Separation from Service due to the Participant’s death), if as of the Participant’s Termination Date, the Participant is a “specified employee” (within the meaning of Section 409A(a)(2)(B)), then such benefits shall not be distributed until the date that is the earlier of (x) the second business day following the end of the six-month period commencing on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266"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Termination Date or (y) the Participant’s date of death, if death occurs during such six-month period.</w:t>
      </w:r>
    </w:p>
    <w:p>
      <w:pPr>
        <w:spacing w:after="0" w:line="173" w:lineRule="exact"/>
        <w:rPr>
          <w:sz w:val="20"/>
          <w:szCs w:val="20"/>
          <w:color w:val="auto"/>
        </w:rPr>
      </w:pPr>
    </w:p>
    <w:p>
      <w:pPr>
        <w:jc w:val="both"/>
        <w:ind w:firstLine="1304"/>
        <w:spacing w:after="0" w:line="215" w:lineRule="auto"/>
        <w:tabs>
          <w:tab w:leader="none" w:pos="1944"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960" w:hanging="656"/>
        <w:spacing w:after="0"/>
        <w:tabs>
          <w:tab w:leader="none" w:pos="19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p>
    <w:p>
      <w:pPr>
        <w:spacing w:after="0" w:line="185" w:lineRule="exact"/>
        <w:rPr>
          <w:sz w:val="20"/>
          <w:szCs w:val="20"/>
          <w:color w:val="auto"/>
        </w:rPr>
      </w:pPr>
    </w:p>
    <w:p>
      <w:pPr>
        <w:jc w:val="both"/>
        <w:ind w:left="660" w:firstLine="644"/>
        <w:spacing w:after="0" w:line="239" w:lineRule="auto"/>
        <w:tabs>
          <w:tab w:leader="none" w:pos="1953"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 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73" w:lineRule="exact"/>
        <w:rPr>
          <w:rFonts w:ascii="Arial" w:cs="Arial" w:eastAsia="Arial" w:hAnsi="Arial"/>
          <w:sz w:val="19"/>
          <w:szCs w:val="19"/>
          <w:color w:val="auto"/>
        </w:rPr>
      </w:pPr>
    </w:p>
    <w:p>
      <w:pPr>
        <w:jc w:val="both"/>
        <w:ind w:left="660" w:firstLine="644"/>
        <w:spacing w:after="0" w:line="268" w:lineRule="auto"/>
        <w:tabs>
          <w:tab w:leader="none" w:pos="1951"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6" w:right="339" w:bottom="1440" w:gutter="0" w:footer="0" w:header="0"/>
        </w:sectPr>
      </w:pPr>
    </w:p>
    <w:bookmarkStart w:id="62" w:name="page63"/>
    <w:bookmarkEnd w:id="62"/>
    <w:p>
      <w:pPr>
        <w:jc w:val="both"/>
        <w:ind w:left="480"/>
        <w:spacing w:after="0" w:line="234" w:lineRule="auto"/>
        <w:rPr>
          <w:sz w:val="20"/>
          <w:szCs w:val="20"/>
          <w:color w:val="auto"/>
        </w:rPr>
      </w:pPr>
      <w:r>
        <w:rPr>
          <w:rFonts w:ascii="Arial" w:cs="Arial" w:eastAsia="Arial" w:hAnsi="Arial"/>
          <w:sz w:val="21"/>
          <w:szCs w:val="21"/>
          <w:color w:val="auto"/>
        </w:rPr>
        <w:t>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8" w:lineRule="exact"/>
        <w:rPr>
          <w:sz w:val="20"/>
          <w:szCs w:val="20"/>
          <w:color w:val="auto"/>
        </w:rPr>
      </w:pPr>
    </w:p>
    <w:p>
      <w:pPr>
        <w:ind w:left="1760" w:hanging="636"/>
        <w:spacing w:after="0"/>
        <w:tabs>
          <w:tab w:leader="none" w:pos="17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p>
    <w:p>
      <w:pPr>
        <w:spacing w:after="0" w:line="179" w:lineRule="exact"/>
        <w:rPr>
          <w:rFonts w:ascii="Arial" w:cs="Arial" w:eastAsia="Arial" w:hAnsi="Arial"/>
          <w:sz w:val="22"/>
          <w:szCs w:val="22"/>
          <w:color w:val="auto"/>
        </w:rPr>
      </w:pPr>
    </w:p>
    <w:p>
      <w:pPr>
        <w:jc w:val="both"/>
        <w:ind w:left="1120" w:firstLine="652"/>
        <w:spacing w:after="0" w:line="221" w:lineRule="auto"/>
        <w:tabs>
          <w:tab w:leader="none" w:pos="2411" w:val="left"/>
        </w:tabs>
        <w:numPr>
          <w:ilvl w:val="1"/>
          <w:numId w:val="140"/>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For consideration provided under this Award Agreement, including, but not</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to the Company’s agreement to provide the Participant with Confidential Information (as defined in Section 9(a))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the Participant had any actual contact while employed at the Company.</w:t>
      </w:r>
    </w:p>
    <w:p>
      <w:pPr>
        <w:spacing w:after="0" w:line="158" w:lineRule="exact"/>
        <w:rPr>
          <w:rFonts w:ascii="Arial" w:cs="Arial" w:eastAsia="Arial" w:hAnsi="Arial"/>
          <w:sz w:val="21"/>
          <w:szCs w:val="21"/>
          <w:color w:val="auto"/>
        </w:rPr>
      </w:pPr>
    </w:p>
    <w:p>
      <w:pPr>
        <w:jc w:val="both"/>
        <w:ind w:left="1120" w:firstLine="652"/>
        <w:spacing w:after="0" w:line="211" w:lineRule="auto"/>
        <w:tabs>
          <w:tab w:leader="none" w:pos="2411" w:val="left"/>
        </w:tabs>
        <w:numPr>
          <w:ilvl w:val="1"/>
          <w:numId w:val="140"/>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120" w:firstLine="652"/>
        <w:spacing w:after="0" w:line="268" w:lineRule="auto"/>
        <w:tabs>
          <w:tab w:leader="none" w:pos="2411" w:val="left"/>
        </w:tabs>
        <w:numPr>
          <w:ilvl w:val="1"/>
          <w:numId w:val="140"/>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9(c)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jc w:val="both"/>
        <w:ind w:left="480" w:firstLine="644"/>
        <w:spacing w:after="0" w:line="244" w:lineRule="auto"/>
        <w:tabs>
          <w:tab w:leader="none" w:pos="177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9, for which the Participant received valuable consideration 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4" w:lineRule="exact"/>
        <w:rPr>
          <w:rFonts w:ascii="Arial" w:cs="Arial" w:eastAsia="Arial" w:hAnsi="Arial"/>
          <w:sz w:val="19"/>
          <w:szCs w:val="19"/>
          <w:color w:val="auto"/>
        </w:rPr>
      </w:pPr>
    </w:p>
    <w:p>
      <w:pPr>
        <w:jc w:val="both"/>
        <w:ind w:left="480" w:firstLine="644"/>
        <w:spacing w:after="0" w:line="268" w:lineRule="auto"/>
        <w:tabs>
          <w:tab w:leader="none" w:pos="1773"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9, the Participant shall not be entitled to receive any amounts that would otherwise be payable to the Participant with respect to this RSU Award, and such amounts shall be forfeited. If the Participant violates any provision of this Section 9 after amounts under this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500" w:top="1266" w:right="339" w:bottom="1440" w:gutter="0" w:footer="0" w:header="0"/>
        </w:sectPr>
      </w:pPr>
    </w:p>
    <w:bookmarkStart w:id="63" w:name="page64"/>
    <w:bookmarkEnd w:id="63"/>
    <w:p>
      <w:pPr>
        <w:jc w:val="both"/>
        <w:ind w:left="660"/>
        <w:spacing w:after="0" w:line="252" w:lineRule="auto"/>
        <w:rPr>
          <w:sz w:val="20"/>
          <w:szCs w:val="20"/>
          <w:color w:val="auto"/>
        </w:rPr>
      </w:pPr>
      <w:r>
        <w:rPr>
          <w:rFonts w:ascii="Arial" w:cs="Arial" w:eastAsia="Arial" w:hAnsi="Arial"/>
          <w:sz w:val="19"/>
          <w:szCs w:val="19"/>
          <w:color w:val="auto"/>
        </w:rPr>
        <w:t>Award have been paid or if the Company learns of the violation after amounts under this RSU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9.</w:t>
      </w:r>
    </w:p>
    <w:p>
      <w:pPr>
        <w:spacing w:after="0" w:line="143" w:lineRule="exact"/>
        <w:rPr>
          <w:sz w:val="20"/>
          <w:szCs w:val="20"/>
          <w:color w:val="auto"/>
        </w:rPr>
      </w:pPr>
    </w:p>
    <w:p>
      <w:pPr>
        <w:jc w:val="both"/>
        <w:ind w:firstLine="1304"/>
        <w:spacing w:after="0" w:line="225" w:lineRule="auto"/>
        <w:tabs>
          <w:tab w:leader="none" w:pos="1944"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155" w:lineRule="exact"/>
        <w:rPr>
          <w:sz w:val="20"/>
          <w:szCs w:val="20"/>
          <w:color w:val="auto"/>
        </w:rPr>
      </w:pPr>
    </w:p>
    <w:p>
      <w:pPr>
        <w:jc w:val="both"/>
        <w:ind w:firstLine="1304"/>
        <w:spacing w:after="0" w:line="225" w:lineRule="auto"/>
        <w:tabs>
          <w:tab w:leader="none" w:pos="1932"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units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subject to this Award Agreement, unless and until the Participant is registered as the holder of such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units of Common Stock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123"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Company and the Participant that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this Award Agreement comply with Section 409A and will be interpreted and administered consistent therewith. Accordingly, (i) no adjustment to the RSU Award pursuant to Section 14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5"/>
          <w:szCs w:val="25"/>
          <w:b w:val="1"/>
          <w:bCs w:val="1"/>
          <w:color w:val="auto"/>
        </w:rPr>
        <w:t>CENTERPOINT ENERGY, INC.</w:t>
      </w:r>
    </w:p>
    <w:p>
      <w:pPr>
        <w:jc w:val="center"/>
        <w:spacing w:after="0" w:line="207" w:lineRule="auto"/>
        <w:rPr>
          <w:sz w:val="20"/>
          <w:szCs w:val="20"/>
          <w:color w:val="auto"/>
        </w:rPr>
      </w:pPr>
      <w:r>
        <w:rPr>
          <w:rFonts w:ascii="Arial" w:cs="Arial" w:eastAsia="Arial" w:hAnsi="Arial"/>
          <w:sz w:val="25"/>
          <w:szCs w:val="25"/>
          <w:b w:val="1"/>
          <w:bCs w:val="1"/>
          <w:color w:val="auto"/>
        </w:rPr>
        <w:t>2022 LONG TERM INCENTIVE PLAN</w:t>
      </w:r>
    </w:p>
    <w:p>
      <w:pPr>
        <w:jc w:val="center"/>
        <w:spacing w:after="0" w:line="204" w:lineRule="auto"/>
        <w:rPr>
          <w:sz w:val="20"/>
          <w:szCs w:val="20"/>
          <w:color w:val="auto"/>
        </w:rPr>
      </w:pPr>
      <w:r>
        <w:rPr>
          <w:rFonts w:ascii="Arial" w:cs="Arial" w:eastAsia="Arial" w:hAnsi="Arial"/>
          <w:sz w:val="22"/>
          <w:szCs w:val="22"/>
          <w:b w:val="1"/>
          <w:bCs w:val="1"/>
          <w:color w:val="auto"/>
        </w:rPr>
        <w:t>FORM OF RESTRICTED STOCK UNIT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CHIEF EXECUTIVE OFFICER</w:t>
      </w:r>
    </w:p>
    <w:p>
      <w:pPr>
        <w:spacing w:after="0" w:line="182"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 xml:space="preserve">Pursuant to this Restricted Stock Unit Award Agreement (“Award Agreement”), </w:t>
      </w:r>
      <w:r>
        <w:rPr>
          <w:rFonts w:ascii="Arial" w:cs="Arial" w:eastAsia="Arial" w:hAnsi="Arial"/>
          <w:sz w:val="22"/>
          <w:szCs w:val="22"/>
          <w:b w:val="1"/>
          <w:bCs w:val="1"/>
          <w:color w:val="auto"/>
        </w:rPr>
        <w:t>CenterPoint Energy, Inc.</w:t>
      </w:r>
      <w:r>
        <w:rPr>
          <w:rFonts w:ascii="Arial" w:cs="Arial" w:eastAsia="Arial" w:hAnsi="Arial"/>
          <w:sz w:val="22"/>
          <w:szCs w:val="22"/>
          <w:color w:val="auto"/>
        </w:rPr>
        <w:t xml:space="preserve"> (the “Company”) hereby grants to &lt;first_name&gt; &lt;last_name&gt;, an employee of the Company, on &lt;award_date&gt; (the “Award Date”), a restricted stock unit award of &lt;shares_awarded&gt; units of Common Stock of the Company (the “RSU Award”) pursuant to the </w:t>
      </w:r>
      <w:r>
        <w:rPr>
          <w:rFonts w:ascii="Arial" w:cs="Arial" w:eastAsia="Arial" w:hAnsi="Arial"/>
          <w:sz w:val="22"/>
          <w:szCs w:val="22"/>
          <w:b w:val="1"/>
          <w:bCs w:val="1"/>
          <w:color w:val="auto"/>
        </w:rPr>
        <w:t xml:space="preserve">CenterPoint Energy, Inc. 2022 Long Term Incentive Plan </w:t>
      </w:r>
      <w:r>
        <w:rPr>
          <w:rFonts w:ascii="Arial" w:cs="Arial" w:eastAsia="Arial" w:hAnsi="Arial"/>
          <w:sz w:val="22"/>
          <w:szCs w:val="22"/>
          <w:color w:val="auto"/>
        </w:rPr>
        <w:t>(the “Plan”), subject to the terms, conditions and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the Plan and as follows:</w:t>
      </w:r>
    </w:p>
    <w:p>
      <w:pPr>
        <w:spacing w:after="0" w:line="152" w:lineRule="exact"/>
        <w:rPr>
          <w:sz w:val="20"/>
          <w:szCs w:val="20"/>
          <w:color w:val="auto"/>
        </w:rPr>
      </w:pPr>
    </w:p>
    <w:p>
      <w:pPr>
        <w:jc w:val="both"/>
        <w:ind w:firstLine="1304"/>
        <w:spacing w:after="0" w:line="248" w:lineRule="auto"/>
        <w:tabs>
          <w:tab w:leader="none" w:pos="1944"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the Plan; Definitions. </w:t>
      </w:r>
      <w:r>
        <w:rPr>
          <w:rFonts w:ascii="Arial" w:cs="Arial" w:eastAsia="Arial" w:hAnsi="Arial"/>
          <w:sz w:val="19"/>
          <w:szCs w:val="19"/>
          <w:color w:val="auto"/>
        </w:rPr>
        <w:t>This RSU Award is subject to all of the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 effect on the date hereof and administrative interpretations thereunder, if any, adopted by the Committee.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“Award Date” </w:t>
      </w:r>
      <w:r>
        <w:rPr>
          <w:rFonts w:ascii="Arial" w:cs="Arial" w:eastAsia="Arial" w:hAnsi="Arial"/>
          <w:sz w:val="19"/>
          <w:szCs w:val="19"/>
          <w:color w:val="auto"/>
        </w:rPr>
        <w:t>means the date this RSU Award is granted to the Participant as specified in this Award Agreement.</w:t>
      </w:r>
    </w:p>
    <w:p>
      <w:pPr>
        <w:spacing w:after="0" w:line="21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the Participant's (a) gross negligence in the performance of his or her duties, (b) intentional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5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that the Participant is both eligible for and in receipt of benefits under the Company's long-term disability plan.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means employment with the Company or any of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means any one or more of the following events</w:t>
      </w:r>
    </w:p>
    <w:p>
      <w:pPr>
        <w:spacing w:after="0" w:line="185" w:lineRule="exact"/>
        <w:rPr>
          <w:sz w:val="20"/>
          <w:szCs w:val="20"/>
          <w:color w:val="auto"/>
        </w:rPr>
      </w:pPr>
    </w:p>
    <w:p>
      <w:pPr>
        <w:jc w:val="both"/>
        <w:ind w:left="1300" w:firstLine="652"/>
        <w:spacing w:after="0" w:line="223" w:lineRule="auto"/>
        <w:tabs>
          <w:tab w:leader="none" w:pos="2593"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 material adverse change in the authorities, powers, functions, responsibilities, duties, or reporting structure (which shall include, without limitation, the Board’s designation of a successor to the Participant in his capacity as Chief Executive Officer of the Company);</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 material reduction in the Participant’s annual base salary;</w:t>
      </w:r>
    </w:p>
    <w:p>
      <w:pPr>
        <w:spacing w:after="0" w:line="179" w:lineRule="exact"/>
        <w:rPr>
          <w:rFonts w:ascii="Arial" w:cs="Arial" w:eastAsia="Arial" w:hAnsi="Arial"/>
          <w:sz w:val="22"/>
          <w:szCs w:val="22"/>
          <w:color w:val="auto"/>
        </w:rPr>
      </w:pPr>
    </w:p>
    <w:p>
      <w:pPr>
        <w:ind w:left="1300" w:right="20" w:firstLine="652"/>
        <w:spacing w:after="0" w:line="232" w:lineRule="auto"/>
        <w:tabs>
          <w:tab w:leader="none" w:pos="2593"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 material reduction in the Participant’s overall compensation opportunities (as contrasted with overall compensation actually paid or awarded)</w:t>
      </w:r>
    </w:p>
    <w:p>
      <w:pPr>
        <w:sectPr>
          <w:pgSz w:w="11900" w:h="16838" w:orient="portrait"/>
          <w:cols w:equalWidth="0" w:num="1">
            <w:col w:w="11240"/>
          </w:cols>
          <w:pgMar w:left="320" w:top="1234" w:right="339" w:bottom="1440" w:gutter="0" w:footer="0" w:header="0"/>
        </w:sectPr>
      </w:pPr>
    </w:p>
    <w:bookmarkStart w:id="65" w:name="page66"/>
    <w:bookmarkEnd w:id="65"/>
    <w:p>
      <w:pPr>
        <w:ind w:left="1300"/>
        <w:spacing w:after="0" w:line="232" w:lineRule="auto"/>
        <w:rPr>
          <w:sz w:val="20"/>
          <w:szCs w:val="20"/>
          <w:color w:val="auto"/>
        </w:rPr>
      </w:pPr>
      <w:r>
        <w:rPr>
          <w:rFonts w:ascii="Arial" w:cs="Arial" w:eastAsia="Arial" w:hAnsi="Arial"/>
          <w:sz w:val="22"/>
          <w:szCs w:val="22"/>
          <w:color w:val="auto"/>
        </w:rPr>
        <w:t>under a short-term incentive plan, a long-term incentive plan or other equity plan (or in such substitute or alternative plans); or</w:t>
      </w:r>
    </w:p>
    <w:p>
      <w:pPr>
        <w:spacing w:after="0" w:line="159" w:lineRule="exact"/>
        <w:rPr>
          <w:sz w:val="20"/>
          <w:szCs w:val="20"/>
          <w:color w:val="auto"/>
        </w:rPr>
      </w:pPr>
    </w:p>
    <w:p>
      <w:pPr>
        <w:ind w:left="1300" w:firstLine="652"/>
        <w:spacing w:after="0" w:line="232" w:lineRule="auto"/>
        <w:tabs>
          <w:tab w:leader="none" w:pos="259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change in the location of the Participant’s principal place of employment with the Company by more than 50 miles;</w:t>
      </w:r>
    </w:p>
    <w:p>
      <w:pPr>
        <w:spacing w:after="0" w:line="15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provided, however, that no later than 30 days after learning of the action (or inaction) described herein as the basis for a termination of employment for Good Reason, the Participant shall advise the Company in writing that the action (or inaction) constitutes grounds for a termination of his or her Employment for Good Reason, in which event the Company shall have 30 days (the “Cure Period”) to correct such action (or inaction). If such action (or inaction) is not corrected prior to the end of the Cure Period, then the Participant may terminate his or her Employment with the Company for Good Reason within the 30-day period following the end of the Cure Period by giving written notice to the Company. If such action (or inaction) is corrected before the end of the Cure Period, then the Participant shall not be entitled to terminate his or her Employment for Good Reason as a result of such action (or inaction).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means Code Section 409A and the Treasury regulations and guidance issued thereunder.</w:t>
      </w:r>
    </w:p>
    <w:p>
      <w:pPr>
        <w:spacing w:after="0" w:line="191"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means a separation from service with the Company or any of its Subsidiaries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Treasury Regulation § 1.409A-1(h) (or any successor regulation).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means the date of the Participant's Separation from Service.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means one or more vesting dates as specified in Section 3.</w:t>
      </w:r>
    </w:p>
    <w:p>
      <w:pPr>
        <w:spacing w:after="0" w:line="179" w:lineRule="exact"/>
        <w:rPr>
          <w:sz w:val="20"/>
          <w:szCs w:val="20"/>
          <w:color w:val="auto"/>
        </w:rPr>
      </w:pPr>
    </w:p>
    <w:p>
      <w:pPr>
        <w:jc w:val="both"/>
        <w:ind w:firstLine="1304"/>
        <w:spacing w:after="0" w:line="211" w:lineRule="auto"/>
        <w:tabs>
          <w:tab w:leader="none" w:pos="19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Establishment of RSU Award Account. </w:t>
      </w:r>
      <w:r>
        <w:rPr>
          <w:rFonts w:ascii="Arial" w:cs="Arial" w:eastAsia="Arial" w:hAnsi="Arial"/>
          <w:sz w:val="22"/>
          <w:szCs w:val="22"/>
          <w:color w:val="auto"/>
        </w:rPr>
        <w:t>The grant of units of Common Stock of the Company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Agreement shall be implemented by a credit to a bookkeeping account maintained by the Company evidencing the accrual in favor of the Participant of the unfunded and unsecured right to receive a corresponding number of shares of Common Stock, which right shall be subject to the terms, conditions and restrictions set forth in the Plan and to the further terms, conditions and restrictions set forth in this Award Agreement. Except as otherwise provided in Section 11 of this Award Agreement and subject to Section 6 of this Award Agreement, the units of Common Stock credited to the Participant's bookkeeping account may not be sold, assigned, transferred, pledged or otherwise encumbered until the Participant has been registered as the holder of shares of Common Stock on the records of the Company as provided in Sections 4 or 5 of this Award Agreement.</w:t>
      </w:r>
    </w:p>
    <w:p>
      <w:pPr>
        <w:spacing w:after="0" w:line="158" w:lineRule="exact"/>
        <w:rPr>
          <w:rFonts w:ascii="Arial" w:cs="Arial" w:eastAsia="Arial" w:hAnsi="Arial"/>
          <w:sz w:val="22"/>
          <w:szCs w:val="22"/>
          <w:b w:val="1"/>
          <w:bCs w:val="1"/>
          <w:color w:val="auto"/>
        </w:rPr>
      </w:pPr>
    </w:p>
    <w:p>
      <w:pPr>
        <w:jc w:val="both"/>
        <w:ind w:firstLine="1304"/>
        <w:spacing w:after="0" w:line="225" w:lineRule="auto"/>
        <w:tabs>
          <w:tab w:leader="none" w:pos="19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RSU Award. </w:t>
      </w:r>
      <w:r>
        <w:rPr>
          <w:rFonts w:ascii="Arial" w:cs="Arial" w:eastAsia="Arial" w:hAnsi="Arial"/>
          <w:sz w:val="22"/>
          <w:szCs w:val="22"/>
          <w:color w:val="auto"/>
        </w:rPr>
        <w:t>Unless earlier vested or forfeited pursuant to this Section 3 or Section 4 below,</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Participant's right to receive shares of Common Stock under this Award Agreement shall vest with respect to the number of units and on the Vesting Date(s) as shown in the following schedule: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&lt;vesting_schedule&gt;</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Except as provided in Sections 4 below, the Participant must be in continuous Employment during the period beginning on the Award Date and ending on the Vesting Date(s) in order for the units (as indicated above) of the RSU Award to vest on such Vesting Date(s); otherwise, all unvested units shall be forfeited as of the Participant's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66" w:name="page67"/>
    <w:bookmarkEnd w:id="66"/>
    <w:p>
      <w:pPr>
        <w:ind w:left="1780" w:hanging="656"/>
        <w:spacing w:after="0"/>
        <w:tabs>
          <w:tab w:leader="none" w:pos="17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Separation from Service; Timing of Distribution.</w:t>
      </w:r>
    </w:p>
    <w:p>
      <w:pPr>
        <w:spacing w:after="0" w:line="185" w:lineRule="exact"/>
        <w:rPr>
          <w:sz w:val="20"/>
          <w:szCs w:val="20"/>
          <w:color w:val="auto"/>
        </w:rPr>
      </w:pPr>
    </w:p>
    <w:p>
      <w:pPr>
        <w:jc w:val="both"/>
        <w:ind w:left="480" w:firstLine="644"/>
        <w:spacing w:after="0" w:line="218" w:lineRule="auto"/>
        <w:tabs>
          <w:tab w:leader="none" w:pos="1773"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Notwithstanding Section 3 above, if the Participant’s Termination Date occurs prior to the final Vesting Date and is due to the Participant’s death or Separation from Service due to Disability, then the Participant shall vest in the right to receive the total number of unvested units of Common Stock subject to this Award Agreement.</w:t>
      </w:r>
    </w:p>
    <w:p>
      <w:pPr>
        <w:spacing w:after="0" w:line="160" w:lineRule="exact"/>
        <w:rPr>
          <w:rFonts w:ascii="Arial" w:cs="Arial" w:eastAsia="Arial" w:hAnsi="Arial"/>
          <w:sz w:val="22"/>
          <w:szCs w:val="22"/>
          <w:color w:val="auto"/>
        </w:rPr>
      </w:pPr>
    </w:p>
    <w:p>
      <w:pPr>
        <w:jc w:val="both"/>
        <w:ind w:left="480" w:firstLine="644"/>
        <w:spacing w:after="0" w:line="216" w:lineRule="auto"/>
        <w:tabs>
          <w:tab w:leader="none" w:pos="1771"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without Cause or for Good Reason</w:t>
      </w:r>
      <w:r>
        <w:rPr>
          <w:rFonts w:ascii="Arial" w:cs="Arial" w:eastAsia="Arial" w:hAnsi="Arial"/>
          <w:sz w:val="22"/>
          <w:szCs w:val="22"/>
          <w:color w:val="auto"/>
        </w:rPr>
        <w:t>. Notwithstanding Section 3 above, if the Participant’s Termination Date occurs prior to the final Vesting Date and is due to (i) termination of Employment by the Company or any of its Subsidiaries without Cause or (ii) resignation by the Participant for Good Reason, then the Participant shall vest in the right to receive the total number of unvested units of Common Stock subject to this Award Agreement.</w:t>
      </w:r>
    </w:p>
    <w:p>
      <w:pPr>
        <w:spacing w:after="0" w:line="157" w:lineRule="exact"/>
        <w:rPr>
          <w:rFonts w:ascii="Arial" w:cs="Arial" w:eastAsia="Arial" w:hAnsi="Arial"/>
          <w:sz w:val="22"/>
          <w:szCs w:val="22"/>
          <w:color w:val="auto"/>
        </w:rPr>
      </w:pPr>
    </w:p>
    <w:p>
      <w:pPr>
        <w:jc w:val="both"/>
        <w:ind w:left="480" w:firstLine="644"/>
        <w:spacing w:after="0" w:line="223" w:lineRule="auto"/>
        <w:tabs>
          <w:tab w:leader="none" w:pos="1773"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 If the Participant is entitled to a benefit pursuant to Section 4(a) or (b) hereof, then the number of shares of Common Stock determined in accordance with the applicable provision of this Section 4 shall be distributed not later than the 70th day after the Participant’s Termination Date.</w:t>
      </w:r>
    </w:p>
    <w:p>
      <w:pPr>
        <w:spacing w:after="0" w:line="158" w:lineRule="exact"/>
        <w:rPr>
          <w:rFonts w:ascii="Arial" w:cs="Arial" w:eastAsia="Arial" w:hAnsi="Arial"/>
          <w:sz w:val="22"/>
          <w:szCs w:val="22"/>
          <w:color w:val="auto"/>
        </w:rPr>
      </w:pPr>
    </w:p>
    <w:p>
      <w:pPr>
        <w:jc w:val="both"/>
        <w:ind w:left="480" w:firstLine="644"/>
        <w:spacing w:after="0" w:line="223" w:lineRule="auto"/>
        <w:tabs>
          <w:tab w:leader="none" w:pos="1771"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Upon the date of distribution of shares of Common Stock under this Section 4, the Participant shall also be entitled to receive Dividend Equivalents for the period from the Award Date to the date such vested shares of Common Stock are distributed to the Participant.</w:t>
      </w:r>
    </w:p>
    <w:p>
      <w:pPr>
        <w:spacing w:after="0" w:line="153" w:lineRule="exact"/>
        <w:rPr>
          <w:sz w:val="20"/>
          <w:szCs w:val="20"/>
          <w:color w:val="auto"/>
        </w:rPr>
      </w:pPr>
    </w:p>
    <w:p>
      <w:pPr>
        <w:jc w:val="both"/>
        <w:ind w:left="-180" w:firstLine="1304"/>
        <w:spacing w:after="0" w:line="254" w:lineRule="auto"/>
        <w:tabs>
          <w:tab w:leader="none" w:pos="1764"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of RSU Award Under Section 3. </w:t>
      </w:r>
      <w:r>
        <w:rPr>
          <w:rFonts w:ascii="Arial" w:cs="Arial" w:eastAsia="Arial" w:hAnsi="Arial"/>
          <w:sz w:val="19"/>
          <w:szCs w:val="19"/>
          <w:color w:val="auto"/>
        </w:rPr>
        <w:t>Upon the vesting of the Participant's right to receive a number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shares of Common Stock pursuant to Section 3 under this Award Agreement, such shares of Common Stock will be distributed not later than the 70th day after the applicable Vesting Date. Moreover, upon the date of distribution of shares of Common Stock, the Participant shall also be entitled to receive Dividend Equivalents for the period commencing on the Award Date and ending on the date such vested shares of Common Stock are distributed to the Participant.</w:t>
      </w:r>
    </w:p>
    <w:p>
      <w:pPr>
        <w:spacing w:after="0" w:line="139" w:lineRule="exact"/>
        <w:rPr>
          <w:rFonts w:ascii="Arial" w:cs="Arial" w:eastAsia="Arial" w:hAnsi="Arial"/>
          <w:sz w:val="19"/>
          <w:szCs w:val="19"/>
          <w:b w:val="1"/>
          <w:bCs w:val="1"/>
          <w:color w:val="auto"/>
        </w:rPr>
      </w:pPr>
    </w:p>
    <w:p>
      <w:pPr>
        <w:jc w:val="both"/>
        <w:ind w:left="-180" w:firstLine="1304"/>
        <w:spacing w:after="0" w:line="254" w:lineRule="auto"/>
        <w:tabs>
          <w:tab w:leader="none" w:pos="1764"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Holding Period. </w:t>
      </w:r>
      <w:r>
        <w:rPr>
          <w:rFonts w:ascii="Arial" w:cs="Arial" w:eastAsia="Arial" w:hAnsi="Arial"/>
          <w:sz w:val="19"/>
          <w:szCs w:val="19"/>
          <w:color w:val="auto"/>
        </w:rPr>
        <w:t>Any shares distributed under this RSU Award may not be sold or otherwise transferred by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for [months] following the Participant’s Termination Date except (i) for the withholding by the Company, or sale by Participant through a sell to cover program, of such number of shares as may be necessary to satisfy payment by Participant of applicable withholding taxes with respect to the shares otherwise distributed, (ii) a sale of shares in connection with a Change in Control, or (iii) upon the death of the Participant. Shares must remain with the Company-designated broker during this period</w:t>
      </w:r>
    </w:p>
    <w:p>
      <w:pPr>
        <w:spacing w:after="0" w:line="139" w:lineRule="exact"/>
        <w:rPr>
          <w:rFonts w:ascii="Arial" w:cs="Arial" w:eastAsia="Arial" w:hAnsi="Arial"/>
          <w:sz w:val="19"/>
          <w:szCs w:val="19"/>
          <w:b w:val="1"/>
          <w:bCs w:val="1"/>
          <w:color w:val="auto"/>
        </w:rPr>
      </w:pPr>
    </w:p>
    <w:p>
      <w:pPr>
        <w:jc w:val="both"/>
        <w:ind w:left="-180" w:firstLine="1304"/>
        <w:spacing w:after="0" w:line="215" w:lineRule="auto"/>
        <w:tabs>
          <w:tab w:leader="none" w:pos="176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The Participant agrees that the terms of this Award Agreement are confidential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152" w:lineRule="exact"/>
        <w:rPr>
          <w:rFonts w:ascii="Arial" w:cs="Arial" w:eastAsia="Arial" w:hAnsi="Arial"/>
          <w:sz w:val="22"/>
          <w:szCs w:val="22"/>
          <w:b w:val="1"/>
          <w:bCs w:val="1"/>
          <w:color w:val="auto"/>
        </w:rPr>
      </w:pPr>
    </w:p>
    <w:p>
      <w:pPr>
        <w:ind w:left="1780" w:hanging="656"/>
        <w:spacing w:after="0"/>
        <w:tabs>
          <w:tab w:leader="none" w:pos="178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Obligations.</w:t>
      </w:r>
    </w:p>
    <w:p>
      <w:pPr>
        <w:spacing w:after="0" w:line="185" w:lineRule="exact"/>
        <w:rPr>
          <w:sz w:val="20"/>
          <w:szCs w:val="20"/>
          <w:color w:val="auto"/>
        </w:rPr>
      </w:pPr>
    </w:p>
    <w:p>
      <w:pPr>
        <w:jc w:val="both"/>
        <w:ind w:left="480" w:firstLine="644"/>
        <w:spacing w:after="0" w:line="268" w:lineRule="auto"/>
        <w:tabs>
          <w:tab w:leader="none" w:pos="1773"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Participant acknowledges that in the course of his or her employment with the Company, the Company agrees to provide to the Participant Confidential Information regarding the Company and the Company’s business and has previously provided the Participant other such Confidential Information. In return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500" w:top="1260" w:right="339" w:bottom="1440" w:gutter="0" w:footer="0" w:header="0"/>
        </w:sectPr>
      </w:pPr>
    </w:p>
    <w:bookmarkStart w:id="67" w:name="page68"/>
    <w:bookmarkEnd w:id="67"/>
    <w:p>
      <w:pPr>
        <w:jc w:val="both"/>
        <w:ind w:left="480"/>
        <w:spacing w:after="0" w:line="239" w:lineRule="auto"/>
        <w:rPr>
          <w:sz w:val="20"/>
          <w:szCs w:val="20"/>
          <w:color w:val="auto"/>
        </w:rPr>
      </w:pPr>
      <w:r>
        <w:rPr>
          <w:rFonts w:ascii="Arial" w:cs="Arial" w:eastAsia="Arial" w:hAnsi="Arial"/>
          <w:sz w:val="19"/>
          <w:szCs w:val="19"/>
          <w:color w:val="auto"/>
        </w:rPr>
        <w:t>this and other consideration, provided under this Award Agreement, the Participant agrees that he or she will not, while employed by the Company and thereafter, disclose or make available to any other person or entity, or use for his own personal gain, any Confidential Information, except for such disclosures as required in the performance of his or her duties hereunder or as may otherwise be required by law or legal process (in which case the Participant shall notify the Company of such legal or judicial proceeding by a non-governmental party as soon as practicable following his receipt of notice of such a proceeding, and permit the Company to seek to protect its interests and information). Nothing in this Award Agreement, however, limits or precludes Participant from making a good faith voluntary report, charge, complaint, or claim to or providing truthful testimony and documents as required by law or under oath pursuant to a subpoena, court order, or request by the Equal Employment Opportunity Commission, the National Labor Relations Board, the Occupational Safety and Health Administration, the Securities and Exchange Commission or any other federal, state, or local government agency or commission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to the Government Agency, without notice to the Company. For purposes of this Award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Award Agreement. By way of illustration, but not limitation, Confidential Information includes business trade secrets, secrets concerning the Company’s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 or parts thereof.</w:t>
      </w:r>
    </w:p>
    <w:p>
      <w:pPr>
        <w:spacing w:after="0" w:line="178" w:lineRule="exact"/>
        <w:rPr>
          <w:sz w:val="20"/>
          <w:szCs w:val="20"/>
          <w:color w:val="auto"/>
        </w:rPr>
      </w:pPr>
    </w:p>
    <w:p>
      <w:pPr>
        <w:jc w:val="both"/>
        <w:ind w:left="480" w:firstLine="644"/>
        <w:spacing w:after="0" w:line="249" w:lineRule="auto"/>
        <w:tabs>
          <w:tab w:leader="none" w:pos="1771"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The Participant agrees that at the time of his or her Separation from Service, he or she will deliver to the Company (and will not keep in his or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the Participant.</w:t>
      </w:r>
    </w:p>
    <w:p>
      <w:pPr>
        <w:spacing w:after="0" w:line="151" w:lineRule="exact"/>
        <w:rPr>
          <w:rFonts w:ascii="Arial" w:cs="Arial" w:eastAsia="Arial" w:hAnsi="Arial"/>
          <w:sz w:val="19"/>
          <w:szCs w:val="19"/>
          <w:color w:val="auto"/>
        </w:rPr>
      </w:pPr>
    </w:p>
    <w:p>
      <w:pPr>
        <w:ind w:left="1760" w:hanging="636"/>
        <w:spacing w:after="0"/>
        <w:tabs>
          <w:tab w:leader="none" w:pos="176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p>
    <w:p>
      <w:pPr>
        <w:spacing w:after="0" w:line="179" w:lineRule="exact"/>
        <w:rPr>
          <w:rFonts w:ascii="Arial" w:cs="Arial" w:eastAsia="Arial" w:hAnsi="Arial"/>
          <w:sz w:val="22"/>
          <w:szCs w:val="22"/>
          <w:color w:val="auto"/>
        </w:rPr>
      </w:pPr>
    </w:p>
    <w:p>
      <w:pPr>
        <w:jc w:val="both"/>
        <w:ind w:left="1120" w:firstLine="652"/>
        <w:spacing w:after="0" w:line="211" w:lineRule="auto"/>
        <w:tabs>
          <w:tab w:leader="none" w:pos="2411" w:val="left"/>
        </w:tabs>
        <w:numPr>
          <w:ilvl w:val="1"/>
          <w:numId w:val="151"/>
        </w:numPr>
        <w:rPr>
          <w:rFonts w:ascii="Arial" w:cs="Arial" w:eastAsia="Arial" w:hAnsi="Arial"/>
          <w:sz w:val="22"/>
          <w:szCs w:val="22"/>
          <w:color w:val="auto"/>
        </w:rPr>
      </w:pPr>
      <w:r>
        <w:rPr>
          <w:rFonts w:ascii="Arial" w:cs="Arial" w:eastAsia="Arial" w:hAnsi="Arial"/>
          <w:sz w:val="22"/>
          <w:szCs w:val="22"/>
          <w:i w:val="1"/>
          <w:iCs w:val="1"/>
          <w:color w:val="auto"/>
        </w:rPr>
        <w:t>Non-Solicitation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(as defined in Section 8(a)) regarding the Company and the Company’s business, the Participant agrees that, while employed by the Company and for one year following his or her Separation from Service, he or she shall not, without the prior written consent of the Company,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500" w:top="1266" w:right="339" w:bottom="1440" w:gutter="0" w:footer="0" w:header="0"/>
        </w:sectPr>
      </w:pPr>
    </w:p>
    <w:bookmarkStart w:id="68" w:name="page69"/>
    <w:bookmarkEnd w:id="68"/>
    <w:p>
      <w:pPr>
        <w:ind w:left="1300"/>
        <w:spacing w:after="0" w:line="232" w:lineRule="auto"/>
        <w:rPr>
          <w:sz w:val="20"/>
          <w:szCs w:val="20"/>
          <w:color w:val="auto"/>
        </w:rPr>
      </w:pPr>
      <w:r>
        <w:rPr>
          <w:rFonts w:ascii="Arial" w:cs="Arial" w:eastAsia="Arial" w:hAnsi="Arial"/>
          <w:sz w:val="22"/>
          <w:szCs w:val="22"/>
          <w:color w:val="auto"/>
        </w:rPr>
        <w:t>the Company or any of its affiliates or ventures with whom the Participant had any actual contact while employed at the Company.</w:t>
      </w:r>
    </w:p>
    <w:p>
      <w:pPr>
        <w:spacing w:after="0" w:line="159" w:lineRule="exact"/>
        <w:rPr>
          <w:sz w:val="20"/>
          <w:szCs w:val="20"/>
          <w:color w:val="auto"/>
        </w:rPr>
      </w:pPr>
    </w:p>
    <w:p>
      <w:pPr>
        <w:jc w:val="both"/>
        <w:ind w:left="1300" w:firstLine="652"/>
        <w:spacing w:after="0" w:line="211" w:lineRule="auto"/>
        <w:tabs>
          <w:tab w:leader="none" w:pos="2591" w:val="left"/>
        </w:tabs>
        <w:numPr>
          <w:ilvl w:val="1"/>
          <w:numId w:val="152"/>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For consideration provided under this Award Agreement, including, but not</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Company’s agreement to provide the Participant with Confidential Information regarding the Company and the Company’s business, the Participant agrees that while employed by the Company and for one year following a Separation from Service he or she will not, without the prior written consent of the Company, acting alone or in conjunction with others, either directly or indirectly, engage in any business that is in competition with the Company or accept employment with or render services to such a business as an officer, agent, employee, independent contractor or consultant, or otherwise engage in activities that are in competition with the Company.</w:t>
      </w:r>
    </w:p>
    <w:p>
      <w:pPr>
        <w:spacing w:after="0" w:line="164" w:lineRule="exact"/>
        <w:rPr>
          <w:rFonts w:ascii="Arial" w:cs="Arial" w:eastAsia="Arial" w:hAnsi="Arial"/>
          <w:sz w:val="22"/>
          <w:szCs w:val="22"/>
          <w:color w:val="auto"/>
        </w:rPr>
      </w:pPr>
    </w:p>
    <w:p>
      <w:pPr>
        <w:jc w:val="both"/>
        <w:ind w:left="1300" w:firstLine="652"/>
        <w:spacing w:after="0" w:line="268" w:lineRule="auto"/>
        <w:tabs>
          <w:tab w:leader="none" w:pos="2591" w:val="left"/>
        </w:tabs>
        <w:numPr>
          <w:ilvl w:val="1"/>
          <w:numId w:val="152"/>
        </w:numPr>
        <w:rPr>
          <w:rFonts w:ascii="Arial" w:cs="Arial" w:eastAsia="Arial" w:hAnsi="Arial"/>
          <w:sz w:val="19"/>
          <w:szCs w:val="19"/>
          <w:color w:val="auto"/>
        </w:rPr>
      </w:pPr>
      <w:r>
        <w:rPr>
          <w:rFonts w:ascii="Arial" w:cs="Arial" w:eastAsia="Arial" w:hAnsi="Arial"/>
          <w:sz w:val="19"/>
          <w:szCs w:val="19"/>
          <w:i w:val="1"/>
          <w:iCs w:val="1"/>
          <w:color w:val="auto"/>
        </w:rPr>
        <w:t>Restricted Area</w:t>
      </w:r>
      <w:r>
        <w:rPr>
          <w:rFonts w:ascii="Arial" w:cs="Arial" w:eastAsia="Arial" w:hAnsi="Arial"/>
          <w:sz w:val="19"/>
          <w:szCs w:val="19"/>
          <w:color w:val="auto"/>
        </w:rPr>
        <w:t>. The restrictions contained in this Section 8(c) are limited to a 50-mile radius</w:t>
      </w:r>
      <w:r>
        <w:rPr>
          <w:rFonts w:ascii="Arial" w:cs="Arial" w:eastAsia="Arial" w:hAnsi="Arial"/>
          <w:sz w:val="19"/>
          <w:szCs w:val="19"/>
          <w:i w:val="1"/>
          <w:iCs w:val="1"/>
          <w:color w:val="auto"/>
        </w:rPr>
        <w:t xml:space="preserve"> </w:t>
      </w:r>
      <w:r>
        <w:rPr>
          <w:rFonts w:ascii="Arial" w:cs="Arial" w:eastAsia="Arial" w:hAnsi="Arial"/>
          <w:sz w:val="19"/>
          <w:szCs w:val="19"/>
          <w:color w:val="auto"/>
        </w:rPr>
        <w:t>around any geographical area in which the Company engages (or has definite plans to engage) in operations or the marketing of its products or services at the time of the Participant’s Separation from Service.</w:t>
      </w:r>
    </w:p>
    <w:p>
      <w:pPr>
        <w:spacing w:after="0" w:line="132" w:lineRule="exact"/>
        <w:rPr>
          <w:rFonts w:ascii="Arial" w:cs="Arial" w:eastAsia="Arial" w:hAnsi="Arial"/>
          <w:sz w:val="19"/>
          <w:szCs w:val="19"/>
          <w:color w:val="auto"/>
        </w:rPr>
      </w:pPr>
    </w:p>
    <w:p>
      <w:pPr>
        <w:jc w:val="both"/>
        <w:ind w:left="660" w:firstLine="644"/>
        <w:spacing w:after="0" w:line="244" w:lineRule="auto"/>
        <w:tabs>
          <w:tab w:leader="none" w:pos="1951"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The Participant acknowledges that the restrictive covenants under this Section 8, for which the Participant received valuable consideration from the Company as provided in this Award Agreement, including, but not limited to the Company’s agreement to provide the Participant with Confidential Information regarding the Company and the Company’s business are ancillary to otherwise enforceable provisions of this Award Agreement that the consideration provided by the Company gives rise to the Company’s interest in restraining the Participant from competing and that the restrictive covenants are designed to enforce the Participant’s consideration or return promises under this Award Agreement. Additionally, the Participant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w:t>
      </w:r>
    </w:p>
    <w:p>
      <w:pPr>
        <w:spacing w:after="0" w:line="154" w:lineRule="exact"/>
        <w:rPr>
          <w:rFonts w:ascii="Arial" w:cs="Arial" w:eastAsia="Arial" w:hAnsi="Arial"/>
          <w:sz w:val="19"/>
          <w:szCs w:val="19"/>
          <w:color w:val="auto"/>
        </w:rPr>
      </w:pPr>
    </w:p>
    <w:p>
      <w:pPr>
        <w:jc w:val="both"/>
        <w:ind w:left="660" w:firstLine="644"/>
        <w:spacing w:after="0" w:line="246" w:lineRule="auto"/>
        <w:tabs>
          <w:tab w:leader="none" w:pos="1953"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If the Participant violates any provision of this Section 8, the Participant shall not be entitled to receive any amounts that would otherwise be payable to the Participant with respect to this RSU Award, and such amounts shall be forfeited. If the Participant violates any provision of this Section 8 after amounts under this RSU Award have been paid or if the Company learns of the violation after amounts under this RSU Award have been paid, the Participant shall repay to the Company the Common Shares (or the equivalent value thereof determined as of the date of the Company’s demand) or the cash received, as the case may be, within thirty (30) days of receiving a demand from the Company for the repayment of the award. Further, the Company shall be entitled to an award of attorneys’ fees incurred with securing any relief hereunder and/or pursuant to a breach or threatened breach of this Section 8.</w:t>
      </w:r>
    </w:p>
    <w:p>
      <w:pPr>
        <w:spacing w:after="0" w:line="146" w:lineRule="exact"/>
        <w:rPr>
          <w:sz w:val="20"/>
          <w:szCs w:val="20"/>
          <w:color w:val="auto"/>
        </w:rPr>
      </w:pPr>
    </w:p>
    <w:p>
      <w:pPr>
        <w:jc w:val="both"/>
        <w:ind w:firstLine="1304"/>
        <w:spacing w:after="0" w:line="225" w:lineRule="auto"/>
        <w:tabs>
          <w:tab w:leader="none" w:pos="1944"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purposes of this Award Agreement, notices to the Company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duly given upon receipt of written notice by the Corporate Secretary of CenterPoint Energy, Inc., 1111 Louisiana, Houston, Texas 77002, or to such other address as the Company may furnish to the Participant.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6" w:right="3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department of the Company, or such other address as the Participant hereafter designates by written notice to the Company.</w:t>
      </w:r>
    </w:p>
    <w:p>
      <w:pPr>
        <w:spacing w:after="0" w:line="208" w:lineRule="exact"/>
        <w:rPr>
          <w:sz w:val="20"/>
          <w:szCs w:val="20"/>
          <w:color w:val="auto"/>
        </w:rPr>
      </w:pPr>
    </w:p>
    <w:p>
      <w:pPr>
        <w:jc w:val="both"/>
        <w:ind w:firstLine="1304"/>
        <w:spacing w:after="0" w:line="225" w:lineRule="auto"/>
        <w:tabs>
          <w:tab w:leader="none" w:pos="1944"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The Participant shall have no rights of a shareholder with respect to the units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subject to this Award Agreement, unless and until the Participant is registered as the holder of such shares of Common Stock.</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32"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This Award Agreement shall bind and inure to the benefit of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Participant, the Company and their respective permitted successors and assigns except as expressly prohibited herein and in the Plan. Notwithstanding anything herein or in the Plan to the contrary, the units of Common Stock are transferable by the Participant to Immediate Family Members, Immediate Family Member trusts, and Immediate Family Member partnerships pursuant to Section 13 of the Plan.</w:t>
      </w:r>
    </w:p>
    <w:p>
      <w:pPr>
        <w:spacing w:after="0" w:line="152" w:lineRule="exact"/>
        <w:rPr>
          <w:rFonts w:ascii="Arial" w:cs="Arial" w:eastAsia="Arial" w:hAnsi="Arial"/>
          <w:sz w:val="22"/>
          <w:szCs w:val="22"/>
          <w:b w:val="1"/>
          <w:bCs w:val="1"/>
          <w:color w:val="auto"/>
        </w:rPr>
      </w:pPr>
    </w:p>
    <w:p>
      <w:pPr>
        <w:jc w:val="both"/>
        <w:ind w:right="20" w:firstLine="1304"/>
        <w:spacing w:after="0" w:line="271" w:lineRule="auto"/>
        <w:tabs>
          <w:tab w:leader="none" w:pos="1944"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Guaranteed. </w:t>
      </w:r>
      <w:r>
        <w:rPr>
          <w:rFonts w:ascii="Arial" w:cs="Arial" w:eastAsia="Arial" w:hAnsi="Arial"/>
          <w:sz w:val="19"/>
          <w:szCs w:val="19"/>
          <w:color w:val="auto"/>
        </w:rPr>
        <w:t>Nothing in this Award Agreement shall give the Participant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123" w:lineRule="exact"/>
        <w:rPr>
          <w:rFonts w:ascii="Arial" w:cs="Arial" w:eastAsia="Arial" w:hAnsi="Arial"/>
          <w:sz w:val="19"/>
          <w:szCs w:val="19"/>
          <w:b w:val="1"/>
          <w:bCs w:val="1"/>
          <w:color w:val="auto"/>
        </w:rPr>
      </w:pPr>
    </w:p>
    <w:p>
      <w:pPr>
        <w:jc w:val="both"/>
        <w:ind w:firstLine="1304"/>
        <w:spacing w:after="0" w:line="220" w:lineRule="auto"/>
        <w:tabs>
          <w:tab w:leader="none" w:pos="1944"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Failure of either party to demand strict compliance with any of the terms or conditions 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waiver of such term or condition, nor shall any waiver by either party of any right hereunder at any one time or more times be deemed a waiver of such right at any other time or times. No term or condition hereof shall be deemed to have been waived except by written instrument.</w:t>
      </w:r>
    </w:p>
    <w:p>
      <w:pPr>
        <w:spacing w:after="0" w:line="152" w:lineRule="exact"/>
        <w:rPr>
          <w:rFonts w:ascii="Arial" w:cs="Arial" w:eastAsia="Arial" w:hAnsi="Arial"/>
          <w:sz w:val="22"/>
          <w:szCs w:val="22"/>
          <w:b w:val="1"/>
          <w:bCs w:val="1"/>
          <w:color w:val="auto"/>
        </w:rPr>
      </w:pPr>
    </w:p>
    <w:p>
      <w:pPr>
        <w:jc w:val="both"/>
        <w:ind w:firstLine="1304"/>
        <w:spacing w:after="0" w:line="217" w:lineRule="auto"/>
        <w:tabs>
          <w:tab w:leader="none" w:pos="1944"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Exclusion with Section 409A. </w:t>
      </w:r>
      <w:r>
        <w:rPr>
          <w:rFonts w:ascii="Arial" w:cs="Arial" w:eastAsia="Arial" w:hAnsi="Arial"/>
          <w:sz w:val="22"/>
          <w:szCs w:val="22"/>
          <w:color w:val="auto"/>
        </w:rPr>
        <w:t>It is the intent of the Company and the Participant that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provide “short-term deferrals” under Section 409A and will be interpreted and administered consistent therewith. In any event, (i) no adjustment to the RSU Award pursuant to Section 16 of the Plan and (ii) no substitutions of the benefits under this Award Agreement, in each case, shall be made in a manner that results in noncompliance with the requirements of Section 409A, to the extent applicable.</w:t>
      </w:r>
    </w:p>
    <w:p>
      <w:pPr>
        <w:spacing w:after="0" w:line="152"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Modification of Award Agreement. </w:t>
      </w:r>
      <w:r>
        <w:rPr>
          <w:rFonts w:ascii="Arial" w:cs="Arial" w:eastAsia="Arial" w:hAnsi="Arial"/>
          <w:sz w:val="21"/>
          <w:szCs w:val="21"/>
          <w:color w:val="auto"/>
        </w:rPr>
        <w:t>Any modification of this Award Agreement is subject to Section 14</w:t>
      </w:r>
      <w:r>
        <w:rPr>
          <w:rFonts w:ascii="Arial" w:cs="Arial" w:eastAsia="Arial" w:hAnsi="Arial"/>
          <w:sz w:val="21"/>
          <w:szCs w:val="21"/>
          <w:b w:val="1"/>
          <w:bCs w:val="1"/>
          <w:color w:val="auto"/>
        </w:rPr>
        <w:t xml:space="preserve"> </w:t>
      </w:r>
      <w:r>
        <w:rPr>
          <w:rFonts w:ascii="Arial" w:cs="Arial" w:eastAsia="Arial" w:hAnsi="Arial"/>
          <w:sz w:val="21"/>
          <w:szCs w:val="21"/>
          <w:color w:val="auto"/>
        </w:rPr>
        <w:t>hereof and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6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1"/>
          <w:szCs w:val="21"/>
          <w:b w:val="1"/>
          <w:bCs w:val="1"/>
          <w:color w:val="auto"/>
        </w:rPr>
        <w:t>CENTERPOINT ENERGY 2005 DEFERRED COMPENSATION PLAN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January 1, 2009)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Partial Termination Amendment</w:t>
      </w:r>
    </w:p>
    <w:p>
      <w:pPr>
        <w:spacing w:after="0" w:line="225" w:lineRule="exact"/>
        <w:rPr>
          <w:sz w:val="20"/>
          <w:szCs w:val="20"/>
          <w:color w:val="auto"/>
        </w:rPr>
      </w:pPr>
    </w:p>
    <w:p>
      <w:pPr>
        <w:jc w:val="both"/>
        <w:ind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CenterPoint Energy, Inc., a Texas corporation (the “Company”), maintains the CenterPoint Energy 2005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Plan, as amended and restated effective January 1, 2009 (the “Plan”);</w:t>
      </w:r>
    </w:p>
    <w:p>
      <w:pPr>
        <w:spacing w:after="0" w:line="1" w:lineRule="exact"/>
        <w:rPr>
          <w:sz w:val="20"/>
          <w:szCs w:val="20"/>
          <w:color w:val="auto"/>
        </w:rPr>
      </w:pPr>
    </w:p>
    <w:p>
      <w:pPr>
        <w:jc w:val="both"/>
        <w:ind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Section 7.1 of the Plan, the Board of Directors of the Company (the “Board”) may amend or</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the Plan at any time;</w:t>
      </w:r>
    </w:p>
    <w:p>
      <w:pPr>
        <w:spacing w:after="0" w:line="1" w:lineRule="exact"/>
        <w:rPr>
          <w:sz w:val="20"/>
          <w:szCs w:val="20"/>
          <w:color w:val="auto"/>
        </w:rPr>
      </w:pPr>
    </w:p>
    <w:p>
      <w:pPr>
        <w:jc w:val="both"/>
        <w:ind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certain Participants of the Plan (the “Enable Participants”) experienced a change in control event (as defined in</w:t>
      </w:r>
      <w:r>
        <w:rPr>
          <w:rFonts w:ascii="Arial" w:cs="Arial" w:eastAsia="Arial" w:hAnsi="Arial"/>
          <w:sz w:val="21"/>
          <w:szCs w:val="21"/>
          <w:b w:val="1"/>
          <w:bCs w:val="1"/>
          <w:color w:val="auto"/>
        </w:rPr>
        <w:t xml:space="preserve"> </w:t>
      </w:r>
      <w:r>
        <w:rPr>
          <w:rFonts w:ascii="Arial" w:cs="Arial" w:eastAsia="Arial" w:hAnsi="Arial"/>
          <w:sz w:val="21"/>
          <w:szCs w:val="21"/>
          <w:color w:val="auto"/>
        </w:rPr>
        <w:t>Treas. Reg. § 1.409A-3(i)(5)) on December 2, 2021 in connection with the acquisition of Enable Midstream Partners, LP (“Enable”) by Energy Transfer LP (the “Enable CIC Event”);</w:t>
      </w:r>
    </w:p>
    <w:p>
      <w:pPr>
        <w:spacing w:after="0" w:line="2" w:lineRule="exact"/>
        <w:rPr>
          <w:sz w:val="20"/>
          <w:szCs w:val="20"/>
          <w:color w:val="auto"/>
        </w:rPr>
      </w:pPr>
    </w:p>
    <w:p>
      <w:pPr>
        <w:jc w:val="both"/>
        <w:ind w:right="20"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Company desires to irrevocably terminate and liquidate the Plan with respect to each Enable Participant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Treas. Reg. § 1.409A-3(j)(4)(ix)(B); and</w:t>
      </w:r>
    </w:p>
    <w:p>
      <w:pPr>
        <w:spacing w:after="0" w:line="1" w:lineRule="exact"/>
        <w:rPr>
          <w:sz w:val="20"/>
          <w:szCs w:val="20"/>
          <w:color w:val="auto"/>
        </w:rPr>
      </w:pPr>
    </w:p>
    <w:p>
      <w:pPr>
        <w:jc w:val="both"/>
        <w:ind w:firstLine="648"/>
        <w:spacing w:after="0" w:line="51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February 16, 2022 (the “Approval Date”), the Board approved such termination and liquidation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and this amendment to the Plan, and also approved, with respect to each Enable Participant, the termination and liquidation of all agreements, methods, programs and other arrangements sponsored by the Company or an affiliate immediately after the CIC Event which deferrals of compensation are, together with deferrals under the Plan, treated as deferred under a single plan under Treas. Reg. § 1.409A-1(c)(2) so that all Enable Participants are required to receive all amounts of compensation deferred under such terminated agreements, methods, programs, and other arrangements within 12 months of the Approval Date;</w:t>
      </w:r>
    </w:p>
    <w:p>
      <w:pPr>
        <w:ind w:left="660"/>
        <w:spacing w:after="0"/>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the Company does hereby amend the Plan as follows, effective as of March 1, 2022 (the “Termination</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30" w:right="339" w:bottom="1440" w:gutter="0" w:footer="0" w:header="0"/>
        </w:sectPr>
      </w:pPr>
    </w:p>
    <w:bookmarkStart w:id="71" w:name="page72"/>
    <w:bookmarkEnd w:id="71"/>
    <w:p>
      <w:pPr>
        <w:spacing w:after="0" w:line="104"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Plan is hereby irrevocably terminated with respect to each Enable Participant.</w:t>
      </w:r>
    </w:p>
    <w:p>
      <w:pPr>
        <w:spacing w:after="0" w:line="231" w:lineRule="exact"/>
        <w:rPr>
          <w:rFonts w:ascii="Arial" w:cs="Arial" w:eastAsia="Arial" w:hAnsi="Arial"/>
          <w:sz w:val="21"/>
          <w:szCs w:val="21"/>
          <w:color w:val="auto"/>
        </w:rPr>
      </w:pPr>
    </w:p>
    <w:p>
      <w:pPr>
        <w:jc w:val="both"/>
        <w:ind w:left="660" w:hanging="4"/>
        <w:spacing w:after="0" w:line="469" w:lineRule="auto"/>
        <w:tabs>
          <w:tab w:leader="none" w:pos="130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As soon as administratively practicable after the Termination Date, and in no event later than 12 months following the Approval Date, the benefit under Plan for each Enable Participant shall be irrevocably liquidated and paid to the Enable Participant in a single lump sum cash payment.</w:t>
      </w:r>
    </w:p>
    <w:p>
      <w:pPr>
        <w:spacing w:after="0" w:line="1" w:lineRule="exact"/>
        <w:rPr>
          <w:rFonts w:ascii="Arial" w:cs="Arial" w:eastAsia="Arial" w:hAnsi="Arial"/>
          <w:sz w:val="21"/>
          <w:szCs w:val="21"/>
          <w:color w:val="auto"/>
        </w:rPr>
      </w:pPr>
    </w:p>
    <w:p>
      <w:pPr>
        <w:jc w:val="both"/>
        <w:ind w:left="660" w:hanging="4"/>
        <w:spacing w:after="0" w:line="469" w:lineRule="auto"/>
        <w:tabs>
          <w:tab w:leader="none" w:pos="130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It is intended that the termination of the Plan with respect to the Enable Participants as set forth herein shall comply with the requirements of Treas. Reg. § 1.409A-3(j)(4)(ix)(B), and this amendment shall be interpreted and administered consistent therewith.</w:t>
      </w:r>
    </w:p>
    <w:p>
      <w:pPr>
        <w:spacing w:after="0" w:line="1" w:lineRule="exact"/>
        <w:rPr>
          <w:rFonts w:ascii="Arial" w:cs="Arial" w:eastAsia="Arial" w:hAnsi="Arial"/>
          <w:sz w:val="21"/>
          <w:szCs w:val="21"/>
          <w:color w:val="auto"/>
        </w:rPr>
      </w:pPr>
    </w:p>
    <w:p>
      <w:pPr>
        <w:ind w:left="1300" w:hanging="644"/>
        <w:spacing w:after="0"/>
        <w:tabs>
          <w:tab w:leader="none" w:pos="13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Capitalized terms not otherwise defined herein shall have the meanings set forth in the Plan.</w:t>
      </w:r>
    </w:p>
    <w:p>
      <w:pPr>
        <w:spacing w:after="0" w:line="200" w:lineRule="exact"/>
        <w:rPr>
          <w:sz w:val="20"/>
          <w:szCs w:val="20"/>
          <w:color w:val="auto"/>
        </w:rPr>
      </w:pPr>
    </w:p>
    <w:p>
      <w:pPr>
        <w:spacing w:after="0" w:line="268" w:lineRule="exact"/>
        <w:rPr>
          <w:sz w:val="20"/>
          <w:szCs w:val="20"/>
          <w:color w:val="auto"/>
        </w:rPr>
      </w:pPr>
    </w:p>
    <w:p>
      <w:pPr>
        <w:ind w:firstLine="648"/>
        <w:spacing w:after="0" w:line="498"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CenterPoint Energy, Inc. has executed these presents as evidenced by the signature of its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affixed hereto, this 24th day of February, 2022, but effective as set forth above.</w:t>
      </w:r>
    </w:p>
    <w:p>
      <w:pPr>
        <w:spacing w:after="0" w:line="78" w:lineRule="exact"/>
        <w:rPr>
          <w:sz w:val="20"/>
          <w:szCs w:val="20"/>
          <w:color w:val="auto"/>
        </w:rPr>
      </w:pPr>
    </w:p>
    <w:p>
      <w:pPr>
        <w:ind w:left="5400"/>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86"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By:/s/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-2540</wp:posOffset>
            </wp:positionV>
            <wp:extent cx="1050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ind w:left="5700"/>
        <w:spacing w:after="0" w:line="201" w:lineRule="auto"/>
        <w:rPr>
          <w:sz w:val="20"/>
          <w:szCs w:val="20"/>
          <w:color w:val="auto"/>
        </w:rPr>
      </w:pPr>
      <w:r>
        <w:rPr>
          <w:rFonts w:ascii="Arial" w:cs="Arial" w:eastAsia="Arial" w:hAnsi="Arial"/>
          <w:sz w:val="21"/>
          <w:szCs w:val="21"/>
          <w:color w:val="auto"/>
        </w:rPr>
        <w:t>David J. Lesar</w:t>
      </w:r>
    </w:p>
    <w:p>
      <w:pPr>
        <w:ind w:left="5700"/>
        <w:spacing w:after="0"/>
        <w:rPr>
          <w:sz w:val="20"/>
          <w:szCs w:val="20"/>
          <w:color w:val="auto"/>
        </w:rPr>
      </w:pPr>
      <w:r>
        <w:rPr>
          <w:rFonts w:ascii="Arial" w:cs="Arial" w:eastAsia="Arial" w:hAnsi="Arial"/>
          <w:sz w:val="21"/>
          <w:szCs w:val="21"/>
          <w:color w:val="auto"/>
        </w:rPr>
        <w:t>President and Chief Executive Officer</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363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1" w:lineRule="auto"/>
        <w:rPr>
          <w:sz w:val="20"/>
          <w:szCs w:val="20"/>
          <w:color w:val="auto"/>
        </w:rPr>
      </w:pPr>
      <w:r>
        <w:rPr>
          <w:rFonts w:ascii="Arial" w:cs="Arial" w:eastAsia="Arial" w:hAnsi="Arial"/>
          <w:sz w:val="21"/>
          <w:szCs w:val="21"/>
          <w:color w:val="auto"/>
        </w:rPr>
        <w:t>Vincent A. Mercaldi</w:t>
      </w:r>
    </w:p>
    <w:p>
      <w:pPr>
        <w:spacing w:after="0"/>
        <w:rPr>
          <w:sz w:val="20"/>
          <w:szCs w:val="20"/>
          <w:color w:val="auto"/>
        </w:rPr>
      </w:pPr>
      <w:r>
        <w:rPr>
          <w:rFonts w:ascii="Arial" w:cs="Arial" w:eastAsia="Arial" w:hAnsi="Arial"/>
          <w:sz w:val="21"/>
          <w:szCs w:val="21"/>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1"/>
          <w:szCs w:val="21"/>
          <w:b w:val="1"/>
          <w:bCs w:val="1"/>
          <w:color w:val="auto"/>
        </w:rPr>
        <w:t>CENTERPOINT ENERGY 2005 DEFERRED COMPENSATION PLAN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January 1, 2009)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Second Amendment</w:t>
      </w:r>
    </w:p>
    <w:p>
      <w:pPr>
        <w:spacing w:after="0" w:line="225" w:lineRule="exact"/>
        <w:rPr>
          <w:sz w:val="20"/>
          <w:szCs w:val="20"/>
          <w:color w:val="auto"/>
        </w:rPr>
      </w:pPr>
    </w:p>
    <w:p>
      <w:pPr>
        <w:jc w:val="both"/>
        <w:ind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CenterPoint Energy, Inc., a Texas corporation (the “Company”), maintains the CenterPoint Energy 2005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Plan, as amended and restated effective January 1, 2009 (the “Plan”);</w:t>
      </w:r>
    </w:p>
    <w:p>
      <w:pPr>
        <w:spacing w:after="0" w:line="1" w:lineRule="exact"/>
        <w:rPr>
          <w:sz w:val="20"/>
          <w:szCs w:val="20"/>
          <w:color w:val="auto"/>
        </w:rPr>
      </w:pPr>
    </w:p>
    <w:p>
      <w:pPr>
        <w:jc w:val="both"/>
        <w:ind w:right="20" w:firstLine="648"/>
        <w:spacing w:after="0" w:line="4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Section 7.1 of the Plan, the Board of Directors of the Company may amend or terminate the Plan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w:t>
      </w:r>
    </w:p>
    <w:p>
      <w:pPr>
        <w:spacing w:after="0" w:line="1" w:lineRule="exact"/>
        <w:rPr>
          <w:sz w:val="20"/>
          <w:szCs w:val="20"/>
          <w:color w:val="auto"/>
        </w:rPr>
      </w:pPr>
    </w:p>
    <w:p>
      <w:pPr>
        <w:jc w:val="both"/>
        <w:ind w:firstLine="648"/>
        <w:spacing w:after="0" w:line="49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freeze the Plan such that no Compensation for any Participation Year beginning on or</w:t>
      </w:r>
      <w:r>
        <w:rPr>
          <w:rFonts w:ascii="Arial" w:cs="Arial" w:eastAsia="Arial" w:hAnsi="Arial"/>
          <w:sz w:val="20"/>
          <w:szCs w:val="20"/>
          <w:b w:val="1"/>
          <w:bCs w:val="1"/>
          <w:color w:val="auto"/>
        </w:rPr>
        <w:t xml:space="preserve"> </w:t>
      </w:r>
      <w:r>
        <w:rPr>
          <w:rFonts w:ascii="Arial" w:cs="Arial" w:eastAsia="Arial" w:hAnsi="Arial"/>
          <w:sz w:val="20"/>
          <w:szCs w:val="20"/>
          <w:color w:val="auto"/>
        </w:rPr>
        <w:t>after January 1, 2023 shall be deferred under the Plan, including any Bonus that qualifies as “performance-based compensation” under Code Section 409A(a)(4)(B) with a performance period ending on or after December 31, 2022; and</w:t>
      </w:r>
    </w:p>
    <w:p>
      <w:pPr>
        <w:jc w:val="both"/>
        <w:ind w:right="20" w:firstLine="648"/>
        <w:spacing w:after="0" w:line="51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no Employee or Director has been designated as eligible to participate in the Plan for any such Participation Year</w:t>
      </w:r>
      <w:r>
        <w:rPr>
          <w:rFonts w:ascii="Arial" w:cs="Arial" w:eastAsia="Arial" w:hAnsi="Arial"/>
          <w:sz w:val="19"/>
          <w:szCs w:val="19"/>
          <w:b w:val="1"/>
          <w:bCs w:val="1"/>
          <w:color w:val="auto"/>
        </w:rPr>
        <w:t xml:space="preserve"> </w:t>
      </w:r>
      <w:r>
        <w:rPr>
          <w:rFonts w:ascii="Arial" w:cs="Arial" w:eastAsia="Arial" w:hAnsi="Arial"/>
          <w:sz w:val="19"/>
          <w:szCs w:val="19"/>
          <w:color w:val="auto"/>
        </w:rPr>
        <w:t>or with respect to any such Bonus or made a deferral election with respect to any such Participation Year or any such Bonus;</w:t>
      </w:r>
    </w:p>
    <w:p>
      <w:pPr>
        <w:ind w:left="66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the Company does hereby amend the Plan as follows, effective as of May 1, 2022:</w:t>
      </w:r>
    </w:p>
    <w:p>
      <w:pPr>
        <w:spacing w:after="0" w:line="237"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Capitalized terms used but not defined herein shall have the meanings set forth in the Plan.</w:t>
      </w:r>
    </w:p>
    <w:p>
      <w:pPr>
        <w:spacing w:after="0" w:line="231" w:lineRule="exact"/>
        <w:rPr>
          <w:rFonts w:ascii="Arial" w:cs="Arial" w:eastAsia="Arial" w:hAnsi="Arial"/>
          <w:sz w:val="21"/>
          <w:szCs w:val="21"/>
          <w:color w:val="auto"/>
        </w:rPr>
      </w:pPr>
    </w:p>
    <w:p>
      <w:pPr>
        <w:jc w:val="both"/>
        <w:ind w:firstLine="656"/>
        <w:spacing w:after="0" w:line="505" w:lineRule="auto"/>
        <w:tabs>
          <w:tab w:leader="none" w:pos="128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Plan is frozen as of January 1, 2023 (the “Freeze Date”) such that (a) no Employee or Director shall be a Participant for any Participation Year beginning on or after such date and (b) no Compensation for any such Participation Year shall be deferred under the Plan, including any Bonus that qualifies as “performance-based compensation” under Code Section 409A(a)(4)(B) with a performance period ending on or after December 31, 2022. Interest shall continue to be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30" w:right="339" w:bottom="1440" w:gutter="0" w:footer="0" w:header="0"/>
        </w:sectPr>
      </w:pPr>
    </w:p>
    <w:bookmarkStart w:id="73" w:name="page74"/>
    <w:bookmarkEnd w:id="73"/>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credited with respect to Compensation deferred under the Plan prior to the Freeze Date, in accordance with the terms of the Plan.</w:t>
      </w:r>
    </w:p>
    <w:p>
      <w:pPr>
        <w:spacing w:after="0" w:line="254"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following shall be added to the end of Section 3.1 of the Plan:</w:t>
      </w:r>
    </w:p>
    <w:p>
      <w:pPr>
        <w:spacing w:after="0" w:line="96" w:lineRule="exact"/>
        <w:rPr>
          <w:sz w:val="20"/>
          <w:szCs w:val="20"/>
          <w:color w:val="auto"/>
        </w:rPr>
      </w:pPr>
    </w:p>
    <w:p>
      <w:pPr>
        <w:jc w:val="both"/>
        <w:ind w:left="660" w:right="660"/>
        <w:spacing w:after="0" w:line="216" w:lineRule="auto"/>
        <w:rPr>
          <w:sz w:val="20"/>
          <w:szCs w:val="20"/>
          <w:color w:val="auto"/>
        </w:rPr>
      </w:pPr>
      <w:r>
        <w:rPr>
          <w:rFonts w:ascii="Arial" w:cs="Arial" w:eastAsia="Arial" w:hAnsi="Arial"/>
          <w:sz w:val="21"/>
          <w:szCs w:val="21"/>
          <w:color w:val="auto"/>
        </w:rPr>
        <w:t>“Notwithstanding the foregoing, no Employee or Director shall be eligible to participate in the Plan with respect to any Participation Year beginning on or after January 1, 2023, including with respect to any Bonus that qualifies as ‘performance-based compensation’ under Code Section 409A(a)(4)(B) with a performance period ending on or after December 31, 2022.”</w:t>
      </w:r>
    </w:p>
    <w:p>
      <w:pPr>
        <w:spacing w:after="0" w:line="292"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following shall be added to the end of Section 3.2 of the Plan:</w:t>
      </w:r>
    </w:p>
    <w:p>
      <w:pPr>
        <w:spacing w:after="0" w:line="96" w:lineRule="exact"/>
        <w:rPr>
          <w:sz w:val="20"/>
          <w:szCs w:val="20"/>
          <w:color w:val="auto"/>
        </w:rPr>
      </w:pPr>
    </w:p>
    <w:p>
      <w:pPr>
        <w:jc w:val="both"/>
        <w:ind w:left="660" w:right="660"/>
        <w:spacing w:after="0" w:line="216" w:lineRule="auto"/>
        <w:rPr>
          <w:sz w:val="20"/>
          <w:szCs w:val="20"/>
          <w:color w:val="auto"/>
        </w:rPr>
      </w:pPr>
      <w:r>
        <w:rPr>
          <w:rFonts w:ascii="Arial" w:cs="Arial" w:eastAsia="Arial" w:hAnsi="Arial"/>
          <w:sz w:val="21"/>
          <w:szCs w:val="21"/>
          <w:color w:val="auto"/>
        </w:rPr>
        <w:t>“Notwithstanding the foregoing, no Employee or Director shall be designated as eligible to participate in the Plan for any Participation Year beginning on or after January 1, 2023, including with respect to any Bonus that qualifies as “performance-based compensation” under Code Section 409A(a)(4)(B) with a performance period ending on or after December 31, 2022.”</w:t>
      </w: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CenterPoint Energy, Inc. has executed these presents as evidenced by the signature of its officer</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affixed hereto, this ______ day of April, 2022, but effective as set forth above.</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86"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-2540</wp:posOffset>
            </wp:positionV>
            <wp:extent cx="131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ind w:left="5600"/>
        <w:spacing w:after="0" w:line="201" w:lineRule="auto"/>
        <w:rPr>
          <w:sz w:val="20"/>
          <w:szCs w:val="20"/>
          <w:color w:val="auto"/>
        </w:rPr>
      </w:pPr>
      <w:r>
        <w:rPr>
          <w:rFonts w:ascii="Arial" w:cs="Arial" w:eastAsia="Arial" w:hAnsi="Arial"/>
          <w:sz w:val="21"/>
          <w:szCs w:val="21"/>
          <w:color w:val="auto"/>
        </w:rPr>
        <w:t>David J. Lesar</w:t>
      </w:r>
    </w:p>
    <w:p>
      <w:pPr>
        <w:ind w:left="5600"/>
        <w:spacing w:after="0"/>
        <w:rPr>
          <w:sz w:val="20"/>
          <w:szCs w:val="20"/>
          <w:color w:val="auto"/>
        </w:rPr>
      </w:pPr>
      <w:r>
        <w:rPr>
          <w:rFonts w:ascii="Arial" w:cs="Arial" w:eastAsia="Arial" w:hAnsi="Arial"/>
          <w:sz w:val="21"/>
          <w:szCs w:val="21"/>
          <w:color w:val="auto"/>
        </w:rPr>
        <w:t>President and Chief Executive Officer</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auto"/>
        </w:rPr>
        <w:t>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31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1)"/>
      <w:numFmt w:val="lowerLetter"/>
      <w:start w:val="1"/>
    </w:lvl>
  </w:abstractNum>
  <w:abstractNum w:abstractNumId="3">
    <w:nsid w:val="6A5EE64"/>
    <w:multiLevelType w:val="hybridMultilevel"/>
    <w:lvl w:ilvl="0">
      <w:lvlJc w:val="left"/>
      <w:lvlText w:val="(%1)"/>
      <w:numFmt w:val="lowerLetter"/>
      <w:start w:val="1"/>
    </w:lvl>
  </w:abstractNum>
  <w:abstractNum w:abstractNumId="4">
    <w:nsid w:val="14330624"/>
    <w:multiLevelType w:val="hybridMultilevel"/>
    <w:lvl w:ilvl="0">
      <w:lvlJc w:val="left"/>
      <w:lvlText w:val="(%1)"/>
      <w:numFmt w:val="lowerLetter"/>
      <w:start w:val="1"/>
    </w:lvl>
  </w:abstractNum>
  <w:abstractNum w:abstractNumId="5">
    <w:nsid w:val="7FFFCA11"/>
    <w:multiLevelType w:val="hybridMultilevel"/>
    <w:lvl w:ilvl="0">
      <w:lvlJc w:val="left"/>
      <w:lvlText w:val="(%1)"/>
      <w:numFmt w:val="lowerLetter"/>
      <w:start w:val="7"/>
    </w:lvl>
  </w:abstractNum>
  <w:abstractNum w:abstractNumId="6">
    <w:nsid w:val="1A27709E"/>
    <w:multiLevelType w:val="hybridMultilevel"/>
    <w:lvl w:ilvl="0">
      <w:lvlJc w:val="left"/>
      <w:lvlText w:val="(%1)"/>
      <w:numFmt w:val="lowerLetter"/>
      <w:start w:val="1"/>
    </w:lvl>
  </w:abstractNum>
  <w:abstractNum w:abstractNumId="7">
    <w:nsid w:val="71EA1109"/>
    <w:multiLevelType w:val="hybridMultilevel"/>
    <w:lvl w:ilvl="0">
      <w:lvlJc w:val="left"/>
      <w:lvlText w:val="%1."/>
      <w:numFmt w:val="decimal"/>
      <w:start w:val="3"/>
    </w:lvl>
  </w:abstractNum>
  <w:abstractNum w:abstractNumId="8">
    <w:nsid w:val="100F59DC"/>
    <w:multiLevelType w:val="hybridMultilevel"/>
    <w:lvl w:ilvl="0">
      <w:lvlJc w:val="left"/>
      <w:lvlText w:val="(%1)"/>
      <w:numFmt w:val="lowerLetter"/>
      <w:start w:val="1"/>
    </w:lvl>
  </w:abstractNum>
  <w:abstractNum w:abstractNumId="9">
    <w:nsid w:val="7FB7E0AA"/>
    <w:multiLevelType w:val="hybridMultilevel"/>
    <w:lvl w:ilvl="0">
      <w:lvlJc w:val="left"/>
      <w:lvlText w:val="%1."/>
      <w:numFmt w:val="decimal"/>
      <w:start w:val="5"/>
    </w:lvl>
  </w:abstractNum>
  <w:abstractNum w:abstractNumId="10">
    <w:nsid w:val="6EB5BD4"/>
    <w:multiLevelType w:val="hybridMultilevel"/>
    <w:lvl w:ilvl="0">
      <w:lvlJc w:val="left"/>
      <w:lvlText w:val="(%1)"/>
      <w:numFmt w:val="lowerLetter"/>
      <w:start w:val="1"/>
    </w:lvl>
  </w:abstractNum>
  <w:abstractNum w:abstractNumId="11">
    <w:nsid w:val="6F6DD9AC"/>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2">
    <w:nsid w:val="94211F2"/>
    <w:multiLevelType w:val="hybridMultilevel"/>
    <w:lvl w:ilvl="0">
      <w:lvlJc w:val="left"/>
      <w:lvlText w:val="(%1)"/>
      <w:numFmt w:val="decimal"/>
      <w:start w:val="1"/>
    </w:lvl>
    <w:lvl w:ilvl="1">
      <w:lvlJc w:val="left"/>
      <w:lvlText w:val="(%2)"/>
      <w:numFmt w:val="lowerRoman"/>
      <w:start w:val="4"/>
    </w:lvl>
    <w:lvl w:ilvl="2">
      <w:lvlJc w:val="left"/>
      <w:lvlText w:val="(%3)"/>
      <w:numFmt w:val="decimal"/>
      <w:start w:val="1"/>
    </w:lvl>
  </w:abstractNum>
  <w:abstractNum w:abstractNumId="13">
    <w:nsid w:val="885E1B"/>
    <w:multiLevelType w:val="hybridMultilevel"/>
    <w:lvl w:ilvl="0">
      <w:lvlJc w:val="left"/>
      <w:lvlText w:val="(%1)"/>
      <w:numFmt w:val="lowerLetter"/>
      <w:start w:val="3"/>
    </w:lvl>
  </w:abstractNum>
  <w:abstractNum w:abstractNumId="14">
    <w:nsid w:val="76272110"/>
    <w:multiLevelType w:val="hybridMultilevel"/>
    <w:lvl w:ilvl="0">
      <w:lvlJc w:val="left"/>
      <w:lvlText w:val="%1."/>
      <w:numFmt w:val="decimal"/>
      <w:start w:val="6"/>
    </w:lvl>
  </w:abstractNum>
  <w:abstractNum w:abstractNumId="15">
    <w:nsid w:val="4C04A8AF"/>
    <w:multiLevelType w:val="hybridMultilevel"/>
    <w:lvl w:ilvl="0">
      <w:lvlJc w:val="left"/>
      <w:lvlText w:val="(%1)"/>
      <w:numFmt w:val="lowerLetter"/>
      <w:start w:val="1"/>
    </w:lvl>
  </w:abstractNum>
  <w:abstractNum w:abstractNumId="16">
    <w:nsid w:val="1716703B"/>
    <w:multiLevelType w:val="hybridMultilevel"/>
    <w:lvl w:ilvl="0">
      <w:lvlJc w:val="left"/>
      <w:lvlText w:val="(%1)"/>
      <w:numFmt w:val="lowerLetter"/>
      <w:start w:val="2"/>
    </w:lvl>
    <w:lvl w:ilvl="1">
      <w:lvlJc w:val="left"/>
      <w:lvlText w:val="(%2)"/>
      <w:numFmt w:val="decimal"/>
      <w:start w:val="1"/>
    </w:lvl>
  </w:abstractNum>
  <w:abstractNum w:abstractNumId="17">
    <w:nsid w:val="14E17E33"/>
    <w:multiLevelType w:val="hybridMultilevel"/>
    <w:lvl w:ilvl="0">
      <w:lvlJc w:val="left"/>
      <w:lvlText w:val="(%1)"/>
      <w:numFmt w:val="decimal"/>
      <w:start w:val="1"/>
    </w:lvl>
  </w:abstractNum>
  <w:abstractNum w:abstractNumId="18">
    <w:nsid w:val="3222E7CD"/>
    <w:multiLevelType w:val="hybridMultilevel"/>
    <w:lvl w:ilvl="0">
      <w:lvlJc w:val="left"/>
      <w:lvlText w:val="(%1)"/>
      <w:numFmt w:val="decimal"/>
      <w:start w:val="2"/>
    </w:lvl>
  </w:abstractNum>
  <w:abstractNum w:abstractNumId="19">
    <w:nsid w:val="74DE0EE3"/>
    <w:multiLevelType w:val="hybridMultilevel"/>
    <w:lvl w:ilvl="0">
      <w:lvlJc w:val="left"/>
      <w:lvlText w:val="(%1)"/>
      <w:numFmt w:val="lowerLetter"/>
      <w:start w:val="6"/>
    </w:lvl>
    <w:lvl w:ilvl="1">
      <w:lvlJc w:val="left"/>
      <w:lvlText w:val="(%2)"/>
      <w:numFmt w:val="decimal"/>
      <w:start w:val="1"/>
    </w:lvl>
  </w:abstractNum>
  <w:abstractNum w:abstractNumId="20">
    <w:nsid w:val="68EBC550"/>
    <w:multiLevelType w:val="hybridMultilevel"/>
    <w:lvl w:ilvl="0">
      <w:lvlJc w:val="left"/>
      <w:lvlText w:val="%1."/>
      <w:numFmt w:val="decimal"/>
      <w:start w:val="7"/>
    </w:lvl>
  </w:abstractNum>
  <w:abstractNum w:abstractNumId="21">
    <w:nsid w:val="2DF6D648"/>
    <w:multiLevelType w:val="hybridMultilevel"/>
    <w:lvl w:ilvl="0">
      <w:lvlJc w:val="left"/>
      <w:lvlText w:val="(%1)"/>
      <w:numFmt w:val="lowerLetter"/>
      <w:start w:val="1"/>
    </w:lvl>
  </w:abstractNum>
  <w:abstractNum w:abstractNumId="22">
    <w:nsid w:val="46B7D447"/>
    <w:multiLevelType w:val="hybridMultilevel"/>
    <w:lvl w:ilvl="0">
      <w:lvlJc w:val="left"/>
      <w:lvlText w:val="%1."/>
      <w:numFmt w:val="decimal"/>
      <w:start w:val="8"/>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1)"/>
      <w:numFmt w:val="lowerLetter"/>
      <w:start w:val="3"/>
    </w:lvl>
    <w:lvl w:ilvl="1">
      <w:lvlJc w:val="left"/>
      <w:lvlText w:val="(%2)"/>
      <w:numFmt w:val="decimal"/>
      <w:start w:val="1"/>
    </w:lvl>
  </w:abstractNum>
  <w:abstractNum w:abstractNumId="25">
    <w:nsid w:val="57FC4FBB"/>
    <w:multiLevelType w:val="hybridMultilevel"/>
    <w:lvl w:ilvl="0">
      <w:lvlJc w:val="left"/>
      <w:lvlText w:val="%1."/>
      <w:numFmt w:val="decimal"/>
      <w:start w:val="10"/>
    </w:lvl>
  </w:abstractNum>
  <w:abstractNum w:abstractNumId="26">
    <w:nsid w:val="CC1016F"/>
    <w:multiLevelType w:val="hybridMultilevel"/>
    <w:lvl w:ilvl="0">
      <w:lvlJc w:val="left"/>
      <w:lvlText w:val="%1."/>
      <w:numFmt w:val="decimal"/>
      <w:start w:val="11"/>
    </w:lvl>
  </w:abstractNum>
  <w:abstractNum w:abstractNumId="27">
    <w:nsid w:val="43F18422"/>
    <w:multiLevelType w:val="hybridMultilevel"/>
    <w:lvl w:ilvl="0">
      <w:lvlJc w:val="left"/>
      <w:lvlText w:val="%1."/>
      <w:numFmt w:val="decimal"/>
      <w:start w:val="1"/>
    </w:lvl>
  </w:abstractNum>
  <w:abstractNum w:abstractNumId="28">
    <w:nsid w:val="60EF0119"/>
    <w:multiLevelType w:val="hybridMultilevel"/>
    <w:lvl w:ilvl="0">
      <w:lvlJc w:val="left"/>
      <w:lvlText w:val="(%1)"/>
      <w:numFmt w:val="lowerLetter"/>
      <w:start w:val="1"/>
    </w:lvl>
  </w:abstractNum>
  <w:abstractNum w:abstractNumId="29">
    <w:nsid w:val="26F324BA"/>
    <w:multiLevelType w:val="hybridMultilevel"/>
    <w:lvl w:ilvl="0">
      <w:lvlJc w:val="left"/>
      <w:lvlText w:val="(%1)"/>
      <w:numFmt w:val="lowerLetter"/>
      <w:start w:val="1"/>
    </w:lvl>
  </w:abstractNum>
  <w:abstractNum w:abstractNumId="30">
    <w:nsid w:val="7F01579B"/>
    <w:multiLevelType w:val="hybridMultilevel"/>
    <w:lvl w:ilvl="0">
      <w:lvlJc w:val="left"/>
      <w:lvlText w:val="(%1)"/>
      <w:numFmt w:val="lowerLetter"/>
      <w:start w:val="1"/>
    </w:lvl>
  </w:abstractNum>
  <w:abstractNum w:abstractNumId="31">
    <w:nsid w:val="49DA307D"/>
    <w:multiLevelType w:val="hybridMultilevel"/>
    <w:lvl w:ilvl="0">
      <w:lvlJc w:val="left"/>
      <w:lvlText w:val="(%1)"/>
      <w:numFmt w:val="lowerLetter"/>
      <w:start w:val="7"/>
    </w:lvl>
  </w:abstractNum>
  <w:abstractNum w:abstractNumId="32">
    <w:nsid w:val="7055A5F5"/>
    <w:multiLevelType w:val="hybridMultilevel"/>
    <w:lvl w:ilvl="0">
      <w:lvlJc w:val="left"/>
      <w:lvlText w:val="(%1)"/>
      <w:numFmt w:val="lowerLetter"/>
      <w:start w:val="1"/>
    </w:lvl>
  </w:abstractNum>
  <w:abstractNum w:abstractNumId="33">
    <w:nsid w:val="5FB8370B"/>
    <w:multiLevelType w:val="hybridMultilevel"/>
    <w:lvl w:ilvl="0">
      <w:lvlJc w:val="left"/>
      <w:lvlText w:val="%1."/>
      <w:numFmt w:val="decimal"/>
      <w:start w:val="3"/>
    </w:lvl>
  </w:abstractNum>
  <w:abstractNum w:abstractNumId="34">
    <w:nsid w:val="50801EE1"/>
    <w:multiLevelType w:val="hybridMultilevel"/>
    <w:lvl w:ilvl="0">
      <w:lvlJc w:val="left"/>
      <w:lvlText w:val="(%1)"/>
      <w:numFmt w:val="lowerLetter"/>
      <w:start w:val="1"/>
    </w:lvl>
  </w:abstractNum>
  <w:abstractNum w:abstractNumId="35">
    <w:nsid w:val="488AC1A"/>
    <w:multiLevelType w:val="hybridMultilevel"/>
    <w:lvl w:ilvl="0">
      <w:lvlJc w:val="left"/>
      <w:lvlText w:val="%1."/>
      <w:numFmt w:val="decimal"/>
      <w:start w:val="5"/>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8">
    <w:nsid w:val="7672BD23"/>
    <w:multiLevelType w:val="hybridMultilevel"/>
    <w:lvl w:ilvl="0">
      <w:lvlJc w:val="left"/>
      <w:lvlText w:val="%1"/>
      <w:numFmt w:val="lowerLetter"/>
      <w:start w:val="1"/>
    </w:lvl>
    <w:lvl w:ilvl="1">
      <w:lvlJc w:val="left"/>
      <w:lvlText w:val="(%2)"/>
      <w:numFmt w:val="decimal"/>
      <w:start w:val="2"/>
    </w:lvl>
  </w:abstractNum>
  <w:abstractNum w:abstractNumId="39">
    <w:nsid w:val="6FC75AF8"/>
    <w:multiLevelType w:val="hybridMultilevel"/>
    <w:lvl w:ilvl="0">
      <w:lvlJc w:val="left"/>
      <w:lvlText w:val="(%1)"/>
      <w:numFmt w:val="lowerLetter"/>
      <w:start w:val="3"/>
    </w:lvl>
    <w:lvl w:ilvl="1">
      <w:lvlJc w:val="left"/>
      <w:lvlText w:val="%2"/>
      <w:numFmt w:val="decimal"/>
      <w:start w:val="1"/>
    </w:lvl>
  </w:abstractNum>
  <w:abstractNum w:abstractNumId="40">
    <w:nsid w:val="6A5F7029"/>
    <w:multiLevelType w:val="hybridMultilevel"/>
    <w:lvl w:ilvl="0">
      <w:lvlJc w:val="left"/>
      <w:lvlText w:val="%1."/>
      <w:numFmt w:val="decimal"/>
      <w:start w:val="6"/>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decimal"/>
      <w:start w:val="1"/>
    </w:lvl>
  </w:abstractNum>
  <w:abstractNum w:abstractNumId="44">
    <w:nsid w:val="7DE67713"/>
    <w:multiLevelType w:val="hybridMultilevel"/>
    <w:lvl w:ilvl="0">
      <w:lvlJc w:val="left"/>
      <w:lvlText w:val="(%1)"/>
      <w:numFmt w:val="lowerLetter"/>
      <w:start w:val="6"/>
    </w:lvl>
    <w:lvl w:ilvl="1">
      <w:lvlJc w:val="left"/>
      <w:lvlText w:val="(%2)"/>
      <w:numFmt w:val="decimal"/>
      <w:start w:val="1"/>
    </w:lvl>
  </w:abstractNum>
  <w:abstractNum w:abstractNumId="45">
    <w:nsid w:val="555C55B5"/>
    <w:multiLevelType w:val="hybridMultilevel"/>
    <w:lvl w:ilvl="0">
      <w:lvlJc w:val="left"/>
      <w:lvlText w:val="%1."/>
      <w:numFmt w:val="decimal"/>
      <w:start w:val="7"/>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3"/>
    </w:lvl>
  </w:abstractNum>
  <w:abstractNum w:abstractNumId="48">
    <w:nsid w:val="6A3DD3E8"/>
    <w:multiLevelType w:val="hybridMultilevel"/>
    <w:lvl w:ilvl="0">
      <w:lvlJc w:val="left"/>
      <w:lvlText w:val="%1."/>
      <w:numFmt w:val="decimal"/>
      <w:start w:val="8"/>
    </w:lvl>
  </w:abstractNum>
  <w:abstractNum w:abstractNumId="49">
    <w:nsid w:val="71C91298"/>
    <w:multiLevelType w:val="hybridMultilevel"/>
    <w:lvl w:ilvl="0">
      <w:lvlJc w:val="left"/>
      <w:lvlText w:val="(%1)"/>
      <w:numFmt w:val="lowerLetter"/>
      <w:start w:val="1"/>
    </w:lvl>
  </w:abstractNum>
  <w:abstractNum w:abstractNumId="50">
    <w:nsid w:val="9DAF632"/>
    <w:multiLevelType w:val="hybridMultilevel"/>
    <w:lvl w:ilvl="0">
      <w:lvlJc w:val="left"/>
      <w:lvlText w:val="(%1)"/>
      <w:numFmt w:val="lowerLetter"/>
      <w:start w:val="2"/>
    </w:lvl>
    <w:lvl w:ilvl="1">
      <w:lvlJc w:val="left"/>
      <w:lvlText w:val="(%2)"/>
      <w:numFmt w:val="decimal"/>
      <w:start w:val="1"/>
    </w:lvl>
  </w:abstractNum>
  <w:abstractNum w:abstractNumId="51">
    <w:nsid w:val="53299938"/>
    <w:multiLevelType w:val="hybridMultilevel"/>
    <w:lvl w:ilvl="0">
      <w:lvlJc w:val="left"/>
      <w:lvlText w:val="(%1)"/>
      <w:numFmt w:val="lowerLetter"/>
      <w:start w:val="5"/>
    </w:lvl>
  </w:abstractNum>
  <w:abstractNum w:abstractNumId="52">
    <w:nsid w:val="1FBFE8E0"/>
    <w:multiLevelType w:val="hybridMultilevel"/>
    <w:lvl w:ilvl="0">
      <w:lvlJc w:val="left"/>
      <w:lvlText w:val="%1."/>
      <w:numFmt w:val="decimal"/>
      <w:start w:val="10"/>
    </w:lvl>
  </w:abstractNum>
  <w:abstractNum w:abstractNumId="53">
    <w:nsid w:val="5092CA79"/>
    <w:multiLevelType w:val="hybridMultilevel"/>
    <w:lvl w:ilvl="0">
      <w:lvlJc w:val="left"/>
      <w:lvlText w:val="%1."/>
      <w:numFmt w:val="decimal"/>
      <w:start w:val="11"/>
    </w:lvl>
  </w:abstractNum>
  <w:abstractNum w:abstractNumId="54">
    <w:nsid w:val="1D545C4D"/>
    <w:multiLevelType w:val="hybridMultilevel"/>
    <w:lvl w:ilvl="0">
      <w:lvlJc w:val="left"/>
      <w:lvlText w:val="%1."/>
      <w:numFmt w:val="decimal"/>
      <w:start w:val="15"/>
    </w:lvl>
  </w:abstractNum>
  <w:abstractNum w:abstractNumId="55">
    <w:nsid w:val="59ADEA3D"/>
    <w:multiLevelType w:val="hybridMultilevel"/>
    <w:lvl w:ilvl="0">
      <w:lvlJc w:val="left"/>
      <w:lvlText w:val="%1."/>
      <w:numFmt w:val="decimal"/>
      <w:start w:val="1"/>
    </w:lvl>
  </w:abstractNum>
  <w:abstractNum w:abstractNumId="56">
    <w:nsid w:val="288F1A34"/>
    <w:multiLevelType w:val="hybridMultilevel"/>
    <w:lvl w:ilvl="0">
      <w:lvlJc w:val="left"/>
      <w:lvlText w:val="%1."/>
      <w:numFmt w:val="decimal"/>
      <w:start w:val="4"/>
    </w:lvl>
  </w:abstractNum>
  <w:abstractNum w:abstractNumId="57">
    <w:nsid w:val="2A155DBC"/>
    <w:multiLevelType w:val="hybridMultilevel"/>
    <w:lvl w:ilvl="0">
      <w:lvlJc w:val="left"/>
      <w:lvlText w:val="(%1)"/>
      <w:numFmt w:val="lowerLetter"/>
      <w:start w:val="1"/>
    </w:lvl>
    <w:lvl w:ilvl="1">
      <w:lvlJc w:val="left"/>
      <w:lvlText w:val="(%2)"/>
      <w:numFmt w:val="decimal"/>
      <w:start w:val="1"/>
    </w:lvl>
  </w:abstractNum>
  <w:abstractNum w:abstractNumId="58">
    <w:nsid w:val="1D9F6E5F"/>
    <w:multiLevelType w:val="hybridMultilevel"/>
    <w:lvl w:ilvl="0">
      <w:lvlJc w:val="left"/>
      <w:lvlText w:val="(%1)"/>
      <w:numFmt w:val="decimal"/>
      <w:start w:val="1"/>
    </w:lvl>
  </w:abstractNum>
  <w:abstractNum w:abstractNumId="59">
    <w:nsid w:val="97E1B4E"/>
    <w:multiLevelType w:val="hybridMultilevel"/>
    <w:lvl w:ilvl="0">
      <w:lvlJc w:val="left"/>
      <w:lvlText w:val="(%1)"/>
      <w:numFmt w:val="lowerLetter"/>
      <w:start w:val="6"/>
    </w:lvl>
    <w:lvl w:ilvl="1">
      <w:lvlJc w:val="left"/>
      <w:lvlText w:val="(%2)"/>
      <w:numFmt w:val="decimal"/>
      <w:start w:val="1"/>
    </w:lvl>
  </w:abstractNum>
  <w:abstractNum w:abstractNumId="60">
    <w:nsid w:val="51088277"/>
    <w:multiLevelType w:val="hybridMultilevel"/>
    <w:lvl w:ilvl="0">
      <w:lvlJc w:val="left"/>
      <w:lvlText w:val="(%1)"/>
      <w:numFmt w:val="lowerRoman"/>
      <w:start w:val="1"/>
    </w:lvl>
  </w:abstractNum>
  <w:abstractNum w:abstractNumId="61">
    <w:nsid w:val="1CA0C5FA"/>
    <w:multiLevelType w:val="hybridMultilevel"/>
    <w:lvl w:ilvl="0">
      <w:lvlJc w:val="left"/>
      <w:lvlText w:val="(%1)"/>
      <w:numFmt w:val="lowerRoman"/>
      <w:start w:val="1"/>
    </w:lvl>
  </w:abstractNum>
  <w:abstractNum w:abstractNumId="62">
    <w:nsid w:val="53584BCB"/>
    <w:multiLevelType w:val="hybridMultilevel"/>
    <w:lvl w:ilvl="0">
      <w:lvlJc w:val="left"/>
      <w:lvlText w:val="(%1)"/>
      <w:numFmt w:val="lowerRoman"/>
      <w:start w:val="1"/>
    </w:lvl>
  </w:abstractNum>
  <w:abstractNum w:abstractNumId="63">
    <w:nsid w:val="415E286C"/>
    <w:multiLevelType w:val="hybridMultilevel"/>
    <w:lvl w:ilvl="0">
      <w:lvlJc w:val="left"/>
      <w:lvlText w:val="(%1)"/>
      <w:numFmt w:val="lowerRoman"/>
      <w:start w:val="5"/>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decimal"/>
      <w:start w:val="5"/>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2"/>
    </w:lvl>
    <w:lvl w:ilvl="1">
      <w:lvlJc w:val="left"/>
      <w:lvlText w:val="(%2)"/>
      <w:numFmt w:val="decimal"/>
      <w:start w:val="1"/>
    </w:lvl>
  </w:abstractNum>
  <w:abstractNum w:abstractNumId="68">
    <w:nsid w:val="E7FFA2B"/>
    <w:multiLevelType w:val="hybridMultilevel"/>
    <w:lvl w:ilvl="0">
      <w:lvlJc w:val="left"/>
      <w:lvlText w:val="(%1)"/>
      <w:numFmt w:val="lowerLetter"/>
      <w:start w:val="5"/>
    </w:lvl>
  </w:abstractNum>
  <w:abstractNum w:abstractNumId="69">
    <w:nsid w:val="3C5991AA"/>
    <w:multiLevelType w:val="hybridMultilevel"/>
    <w:lvl w:ilvl="0">
      <w:lvlJc w:val="left"/>
      <w:lvlText w:val="%1."/>
      <w:numFmt w:val="decimal"/>
      <w:start w:val="8"/>
    </w:lvl>
  </w:abstractNum>
  <w:abstractNum w:abstractNumId="70">
    <w:nsid w:val="4BD8591A"/>
    <w:multiLevelType w:val="hybridMultilevel"/>
    <w:lvl w:ilvl="0">
      <w:lvlJc w:val="left"/>
      <w:lvlText w:val="%1."/>
      <w:numFmt w:val="decimal"/>
      <w:start w:val="9"/>
    </w:lvl>
  </w:abstractNum>
  <w:abstractNum w:abstractNumId="71">
    <w:nsid w:val="78DF6A55"/>
    <w:multiLevelType w:val="hybridMultilevel"/>
    <w:lvl w:ilvl="0">
      <w:lvlJc w:val="left"/>
      <w:lvlText w:val="%1."/>
      <w:numFmt w:val="decimal"/>
      <w:start w:val="12"/>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lowerLetter"/>
      <w:start w:val="1"/>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1"/>
    </w:lvl>
  </w:abstractNum>
  <w:abstractNum w:abstractNumId="76">
    <w:nsid w:val="69E373"/>
    <w:multiLevelType w:val="hybridMultilevel"/>
    <w:lvl w:ilvl="0">
      <w:lvlJc w:val="left"/>
      <w:lvlText w:val="(%1)"/>
      <w:numFmt w:val="lowerLetter"/>
      <w:start w:val="7"/>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decimal"/>
      <w:start w:val="2"/>
    </w:lvl>
  </w:abstractNum>
  <w:abstractNum w:abstractNumId="79">
    <w:nsid w:val="6AA7B75C"/>
    <w:multiLevelType w:val="hybridMultilevel"/>
    <w:lvl w:ilvl="0">
      <w:lvlJc w:val="left"/>
      <w:lvlText w:val="%1."/>
      <w:numFmt w:val="decimal"/>
      <w:start w:val="4"/>
    </w:lvl>
  </w:abstractNum>
  <w:abstractNum w:abstractNumId="80">
    <w:nsid w:val="1DF029D3"/>
    <w:multiLevelType w:val="hybridMultilevel"/>
    <w:lvl w:ilvl="0">
      <w:lvlJc w:val="left"/>
      <w:lvlText w:val="%1"/>
      <w:numFmt w:val="lowerLetter"/>
      <w:start w:val="1"/>
    </w:lvl>
    <w:lvl w:ilvl="1">
      <w:lvlJc w:val="left"/>
      <w:lvlText w:val="(%2)"/>
      <w:numFmt w:val="lowerLetter"/>
      <w:start w:val="1"/>
    </w:lvl>
  </w:abstractNum>
  <w:abstractNum w:abstractNumId="81">
    <w:nsid w:val="5675FF36"/>
    <w:multiLevelType w:val="hybridMultilevel"/>
    <w:lvl w:ilvl="0">
      <w:lvlJc w:val="left"/>
      <w:lvlText w:val="(%1)"/>
      <w:numFmt w:val="lowerLetter"/>
      <w:start w:val="9"/>
    </w:lvl>
    <w:lvl w:ilvl="1">
      <w:lvlJc w:val="left"/>
      <w:lvlText w:val="(%2)"/>
      <w:numFmt w:val="lowerLetter"/>
      <w:start w:val="2"/>
    </w:lvl>
  </w:abstractNum>
  <w:abstractNum w:abstractNumId="82">
    <w:nsid w:val="3DD15094"/>
    <w:multiLevelType w:val="hybridMultilevel"/>
    <w:lvl w:ilvl="0">
      <w:lvlJc w:val="left"/>
      <w:lvlText w:val="(%1)"/>
      <w:numFmt w:val="lowerLetter"/>
      <w:start w:val="3"/>
    </w:lvl>
    <w:lvl w:ilvl="1">
      <w:lvlJc w:val="left"/>
      <w:lvlText w:val="(%2)"/>
      <w:numFmt w:val="decimal"/>
      <w:start w:val="1"/>
    </w:lvl>
  </w:abstractNum>
  <w:abstractNum w:abstractNumId="83">
    <w:nsid w:val="3DB012B3"/>
    <w:multiLevelType w:val="hybridMultilevel"/>
    <w:lvl w:ilvl="0">
      <w:lvlJc w:val="left"/>
      <w:lvlText w:val="%1."/>
      <w:numFmt w:val="decimal"/>
      <w:start w:val="5"/>
    </w:lvl>
  </w:abstractNum>
  <w:abstractNum w:abstractNumId="84">
    <w:nsid w:val="2708C9AF"/>
    <w:multiLevelType w:val="hybridMultilevel"/>
    <w:lvl w:ilvl="0">
      <w:lvlJc w:val="left"/>
      <w:lvlText w:val="(%1)"/>
      <w:numFmt w:val="lowerLetter"/>
      <w:start w:val="1"/>
    </w:lvl>
  </w:abstractNum>
  <w:abstractNum w:abstractNumId="85">
    <w:nsid w:val="5B25ACE2"/>
    <w:multiLevelType w:val="hybridMultilevel"/>
    <w:lvl w:ilvl="0">
      <w:lvlJc w:val="left"/>
      <w:lvlText w:val="(%1)"/>
      <w:numFmt w:val="lowerLetter"/>
      <w:start w:val="3"/>
    </w:lvl>
    <w:lvl w:ilvl="1">
      <w:lvlJc w:val="left"/>
      <w:lvlText w:val="(%2)"/>
      <w:numFmt w:val="decimal"/>
      <w:start w:val="1"/>
    </w:lvl>
  </w:abstractNum>
  <w:abstractNum w:abstractNumId="86">
    <w:nsid w:val="175DFCF0"/>
    <w:multiLevelType w:val="hybridMultilevel"/>
    <w:lvl w:ilvl="0">
      <w:lvlJc w:val="left"/>
      <w:lvlText w:val="(%1)"/>
      <w:numFmt w:val="decimal"/>
      <w:start w:val="1"/>
    </w:lvl>
  </w:abstractNum>
  <w:abstractNum w:abstractNumId="87">
    <w:nsid w:val="4F97E3E4"/>
    <w:multiLevelType w:val="hybridMultilevel"/>
    <w:lvl w:ilvl="0">
      <w:lvlJc w:val="left"/>
      <w:lvlText w:val="(%1)"/>
      <w:numFmt w:val="decimal"/>
      <w:start w:val="2"/>
    </w:lvl>
  </w:abstractNum>
  <w:abstractNum w:abstractNumId="88">
    <w:nsid w:val="53B0A9E"/>
    <w:multiLevelType w:val="hybridMultilevel"/>
    <w:lvl w:ilvl="0">
      <w:lvlJc w:val="left"/>
      <w:lvlText w:val="(%1)"/>
      <w:numFmt w:val="lowerLetter"/>
      <w:start w:val="6"/>
    </w:lvl>
    <w:lvl w:ilvl="1">
      <w:lvlJc w:val="left"/>
      <w:lvlText w:val="(%2)"/>
      <w:numFmt w:val="decimal"/>
      <w:start w:val="1"/>
    </w:lvl>
  </w:abstractNum>
  <w:abstractNum w:abstractNumId="89">
    <w:nsid w:val="34FD6B4F"/>
    <w:multiLevelType w:val="hybridMultilevel"/>
    <w:lvl w:ilvl="0">
      <w:lvlJc w:val="left"/>
      <w:lvlText w:val="%1."/>
      <w:numFmt w:val="decimal"/>
      <w:start w:val="6"/>
    </w:lvl>
  </w:abstractNum>
  <w:abstractNum w:abstractNumId="90">
    <w:nsid w:val="5915FF32"/>
    <w:multiLevelType w:val="hybridMultilevel"/>
    <w:lvl w:ilvl="0">
      <w:lvlJc w:val="left"/>
      <w:lvlText w:val="(%1)"/>
      <w:numFmt w:val="lowerLetter"/>
      <w:start w:val="1"/>
    </w:lvl>
  </w:abstractNum>
  <w:abstractNum w:abstractNumId="91">
    <w:nsid w:val="56438D15"/>
    <w:multiLevelType w:val="hybridMultilevel"/>
    <w:lvl w:ilvl="0">
      <w:lvlJc w:val="left"/>
      <w:lvlText w:val="(%1)"/>
      <w:numFmt w:val="lowerLetter"/>
      <w:start w:val="2"/>
    </w:lvl>
    <w:lvl w:ilvl="1">
      <w:lvlJc w:val="left"/>
      <w:lvlText w:val="(%2)"/>
      <w:numFmt w:val="decimal"/>
      <w:start w:val="1"/>
    </w:lvl>
  </w:abstractNum>
  <w:abstractNum w:abstractNumId="92">
    <w:nsid w:val="519E3149"/>
    <w:multiLevelType w:val="hybridMultilevel"/>
    <w:lvl w:ilvl="0">
      <w:lvlJc w:val="left"/>
      <w:lvlText w:val="%1"/>
      <w:numFmt w:val="lowerLetter"/>
      <w:start w:val="1"/>
    </w:lvl>
    <w:lvl w:ilvl="1">
      <w:lvlJc w:val="left"/>
      <w:lvlText w:val="(%2)"/>
      <w:numFmt w:val="decimal"/>
      <w:start w:val="2"/>
    </w:lvl>
  </w:abstractNum>
  <w:abstractNum w:abstractNumId="93">
    <w:nsid w:val="2C6E4AFD"/>
    <w:multiLevelType w:val="hybridMultilevel"/>
    <w:lvl w:ilvl="0">
      <w:lvlJc w:val="left"/>
      <w:lvlText w:val="(%1)"/>
      <w:numFmt w:val="lowerLetter"/>
      <w:start w:val="4"/>
    </w:lvl>
    <w:lvl w:ilvl="1">
      <w:lvlJc w:val="left"/>
      <w:lvlText w:val="%2"/>
      <w:numFmt w:val="decimal"/>
      <w:start w:val="1"/>
    </w:lvl>
  </w:abstractNum>
  <w:abstractNum w:abstractNumId="94">
    <w:nsid w:val="17A1B582"/>
    <w:multiLevelType w:val="hybridMultilevel"/>
    <w:lvl w:ilvl="0">
      <w:lvlJc w:val="left"/>
      <w:lvlText w:val="%1."/>
      <w:numFmt w:val="decimal"/>
      <w:start w:val="10"/>
    </w:lvl>
  </w:abstractNum>
  <w:abstractNum w:abstractNumId="95">
    <w:nsid w:val="4DF72E4E"/>
    <w:multiLevelType w:val="hybridMultilevel"/>
    <w:lvl w:ilvl="0">
      <w:lvlJc w:val="left"/>
      <w:lvlText w:val="%1."/>
      <w:numFmt w:val="decimal"/>
      <w:start w:val="11"/>
    </w:lvl>
  </w:abstractNum>
  <w:abstractNum w:abstractNumId="96">
    <w:nsid w:val="5046B5A9"/>
    <w:multiLevelType w:val="hybridMultilevel"/>
    <w:lvl w:ilvl="0">
      <w:lvlJc w:val="left"/>
      <w:lvlText w:val="%1."/>
      <w:numFmt w:val="decimal"/>
      <w:start w:val="1"/>
    </w:lvl>
  </w:abstractNum>
  <w:abstractNum w:abstractNumId="97">
    <w:nsid w:val="5D888A08"/>
    <w:multiLevelType w:val="hybridMultilevel"/>
    <w:lvl w:ilvl="0">
      <w:lvlJc w:val="left"/>
      <w:lvlText w:val="(%1)"/>
      <w:numFmt w:val="lowerLetter"/>
      <w:start w:val="1"/>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7"/>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decimal"/>
      <w:start w:val="2"/>
    </w:lvl>
  </w:abstractNum>
  <w:abstractNum w:abstractNumId="103">
    <w:nsid w:val="5399C654"/>
    <w:multiLevelType w:val="hybridMultilevel"/>
    <w:lvl w:ilvl="0">
      <w:lvlJc w:val="left"/>
      <w:lvlText w:val="%1."/>
      <w:numFmt w:val="decimal"/>
      <w:start w:val="4"/>
    </w:lvl>
  </w:abstractNum>
  <w:abstractNum w:abstractNumId="104">
    <w:nsid w:val="20EE1348"/>
    <w:multiLevelType w:val="hybridMultilevel"/>
    <w:lvl w:ilvl="0">
      <w:lvlJc w:val="left"/>
      <w:lvlText w:val="%1"/>
      <w:numFmt w:val="lowerLetter"/>
      <w:start w:val="1"/>
    </w:lvl>
    <w:lvl w:ilvl="1">
      <w:lvlJc w:val="left"/>
      <w:lvlText w:val="(%2)"/>
      <w:numFmt w:val="lowerLetter"/>
      <w:start w:val="1"/>
    </w:lvl>
  </w:abstractNum>
  <w:abstractNum w:abstractNumId="105">
    <w:nsid w:val="4427069A"/>
    <w:multiLevelType w:val="hybridMultilevel"/>
    <w:lvl w:ilvl="0">
      <w:lvlJc w:val="left"/>
      <w:lvlText w:val="(%1)"/>
      <w:numFmt w:val="lowerLetter"/>
      <w:start w:val="9"/>
    </w:lvl>
    <w:lvl w:ilvl="1">
      <w:lvlJc w:val="left"/>
      <w:lvlText w:val="(%2)"/>
      <w:numFmt w:val="lowerLetter"/>
      <w:start w:val="2"/>
    </w:lvl>
  </w:abstractNum>
  <w:abstractNum w:abstractNumId="106">
    <w:nsid w:val="B37E80A"/>
    <w:multiLevelType w:val="hybridMultilevel"/>
    <w:lvl w:ilvl="0">
      <w:lvlJc w:val="left"/>
      <w:lvlText w:val="(%1)"/>
      <w:numFmt w:val="lowerLetter"/>
      <w:start w:val="3"/>
    </w:lvl>
    <w:lvl w:ilvl="1">
      <w:lvlJc w:val="left"/>
      <w:lvlText w:val="(%2)"/>
      <w:numFmt w:val="decimal"/>
      <w:start w:val="1"/>
    </w:lvl>
  </w:abstractNum>
  <w:abstractNum w:abstractNumId="107">
    <w:nsid w:val="2157F6BC"/>
    <w:multiLevelType w:val="hybridMultilevel"/>
    <w:lvl w:ilvl="0">
      <w:lvlJc w:val="left"/>
      <w:lvlText w:val="%1."/>
      <w:numFmt w:val="decimal"/>
      <w:start w:val="5"/>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5"/>
    </w:lvl>
    <w:lvl w:ilvl="1">
      <w:lvlJc w:val="left"/>
      <w:lvlText w:val="(%2)"/>
      <w:numFmt w:val="decimal"/>
      <w:start w:val="1"/>
    </w:lvl>
  </w:abstractNum>
  <w:abstractNum w:abstractNumId="110">
    <w:nsid w:val="BFFAE18"/>
    <w:multiLevelType w:val="hybridMultilevel"/>
    <w:lvl w:ilvl="0">
      <w:lvlJc w:val="left"/>
      <w:lvlText w:val="(%1)"/>
      <w:numFmt w:val="decimal"/>
      <w:start w:val="1"/>
    </w:lvl>
  </w:abstractNum>
  <w:abstractNum w:abstractNumId="111">
    <w:nsid w:val="E3E47A8"/>
    <w:multiLevelType w:val="hybridMultilevel"/>
    <w:lvl w:ilvl="0">
      <w:lvlJc w:val="left"/>
      <w:lvlText w:val="(%1)"/>
      <w:numFmt w:val="lowerLetter"/>
      <w:start w:val="6"/>
    </w:lvl>
    <w:lvl w:ilvl="1">
      <w:lvlJc w:val="left"/>
      <w:lvlText w:val="(%2)"/>
      <w:numFmt w:val="decimal"/>
      <w:start w:val="1"/>
    </w:lvl>
  </w:abstractNum>
  <w:abstractNum w:abstractNumId="112">
    <w:nsid w:val="2E48F044"/>
    <w:multiLevelType w:val="hybridMultilevel"/>
    <w:lvl w:ilvl="0">
      <w:lvlJc w:val="left"/>
      <w:lvlText w:val="%1"/>
      <w:numFmt w:val="decimal"/>
      <w:start w:val="1"/>
    </w:lvl>
    <w:lvl w:ilvl="1">
      <w:lvlJc w:val="left"/>
      <w:lvlText w:val="(%2)"/>
      <w:numFmt w:val="decimal"/>
      <w:start w:val="3"/>
    </w:lvl>
  </w:abstractNum>
  <w:abstractNum w:abstractNumId="113">
    <w:nsid w:val="49D0FEAC"/>
    <w:multiLevelType w:val="hybridMultilevel"/>
    <w:lvl w:ilvl="0">
      <w:lvlJc w:val="left"/>
      <w:lvlText w:val="%1."/>
      <w:numFmt w:val="decimal"/>
      <w:start w:val="6"/>
    </w:lvl>
    <w:lvl w:ilvl="1">
      <w:lvlJc w:val="left"/>
      <w:lvlText w:val="%2"/>
      <w:numFmt w:val="decimal"/>
      <w:start w:val="1"/>
    </w:lvl>
  </w:abstractNum>
  <w:abstractNum w:abstractNumId="114">
    <w:nsid w:val="4BEE5A5B"/>
    <w:multiLevelType w:val="hybridMultilevel"/>
    <w:lvl w:ilvl="0">
      <w:lvlJc w:val="left"/>
      <w:lvlText w:val="(%1)"/>
      <w:numFmt w:val="lowerLetter"/>
      <w:start w:val="1"/>
    </w:lvl>
  </w:abstractNum>
  <w:abstractNum w:abstractNumId="115">
    <w:nsid w:val="5551B9F3"/>
    <w:multiLevelType w:val="hybridMultilevel"/>
    <w:lvl w:ilvl="0">
      <w:lvlJc w:val="left"/>
      <w:lvlText w:val="(%1)"/>
      <w:numFmt w:val="lowerLetter"/>
      <w:start w:val="2"/>
    </w:lvl>
    <w:lvl w:ilvl="1">
      <w:lvlJc w:val="left"/>
      <w:lvlText w:val="(%2)"/>
      <w:numFmt w:val="decimal"/>
      <w:start w:val="1"/>
    </w:lvl>
  </w:abstractNum>
  <w:abstractNum w:abstractNumId="116">
    <w:nsid w:val="24F6AB8E"/>
    <w:multiLevelType w:val="hybridMultilevel"/>
    <w:lvl w:ilvl="0">
      <w:lvlJc w:val="left"/>
      <w:lvlText w:val="(%1)"/>
      <w:numFmt w:val="lowerLetter"/>
      <w:start w:val="4"/>
    </w:lvl>
  </w:abstractNum>
  <w:abstractNum w:abstractNumId="117">
    <w:nsid w:val="634C574C"/>
    <w:multiLevelType w:val="hybridMultilevel"/>
    <w:lvl w:ilvl="0">
      <w:lvlJc w:val="left"/>
      <w:lvlText w:val="%1."/>
      <w:numFmt w:val="decimal"/>
      <w:start w:val="10"/>
    </w:lvl>
  </w:abstractNum>
  <w:abstractNum w:abstractNumId="118">
    <w:nsid w:val="24E99DD7"/>
    <w:multiLevelType w:val="hybridMultilevel"/>
    <w:lvl w:ilvl="0">
      <w:lvlJc w:val="left"/>
      <w:lvlText w:val="%1."/>
      <w:numFmt w:val="decimal"/>
      <w:start w:val="11"/>
    </w:lvl>
  </w:abstractNum>
  <w:abstractNum w:abstractNumId="119">
    <w:nsid w:val="2A31B62D"/>
    <w:multiLevelType w:val="hybridMultilevel"/>
    <w:lvl w:ilvl="0">
      <w:lvlJc w:val="left"/>
      <w:lvlText w:val="%1."/>
      <w:numFmt w:val="decimal"/>
      <w:start w:val="14"/>
    </w:lvl>
  </w:abstractNum>
  <w:abstractNum w:abstractNumId="120">
    <w:nsid w:val="1849C29B"/>
    <w:multiLevelType w:val="hybridMultilevel"/>
    <w:lvl w:ilvl="0">
      <w:lvlJc w:val="left"/>
      <w:lvlText w:val="%1."/>
      <w:numFmt w:val="decimal"/>
      <w:start w:val="1"/>
    </w:lvl>
  </w:abstractNum>
  <w:abstractNum w:abstractNumId="121">
    <w:nsid w:val="7DFF9D09"/>
    <w:multiLevelType w:val="hybridMultilevel"/>
    <w:lvl w:ilvl="0">
      <w:lvlJc w:val="left"/>
      <w:lvlText w:val="(%1)"/>
      <w:numFmt w:val="lowerLetter"/>
      <w:start w:val="1"/>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Letter"/>
      <w:start w:val="1"/>
    </w:lvl>
  </w:abstractNum>
  <w:abstractNum w:abstractNumId="124">
    <w:nsid w:val="2A6DE806"/>
    <w:multiLevelType w:val="hybridMultilevel"/>
    <w:lvl w:ilvl="0">
      <w:lvlJc w:val="left"/>
      <w:lvlText w:val="(%1)"/>
      <w:numFmt w:val="lowerLetter"/>
      <w:start w:val="7"/>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decimal"/>
      <w:start w:val="2"/>
    </w:lvl>
  </w:abstractNum>
  <w:abstractNum w:abstractNumId="127">
    <w:nsid w:val="7AB49DAF"/>
    <w:multiLevelType w:val="hybridMultilevel"/>
    <w:lvl w:ilvl="0">
      <w:lvlJc w:val="left"/>
      <w:lvlText w:val="%1."/>
      <w:numFmt w:val="decimal"/>
      <w:start w:val="4"/>
    </w:lvl>
  </w:abstractNum>
  <w:abstractNum w:abstractNumId="128">
    <w:nsid w:val="759F82CD"/>
    <w:multiLevelType w:val="hybridMultilevel"/>
    <w:lvl w:ilvl="0">
      <w:lvlJc w:val="left"/>
      <w:lvlText w:val="%1"/>
      <w:numFmt w:val="lowerLetter"/>
      <w:start w:val="1"/>
    </w:lvl>
    <w:lvl w:ilvl="1">
      <w:lvlJc w:val="left"/>
      <w:lvlText w:val="(%2)"/>
      <w:numFmt w:val="lowerLetter"/>
      <w:start w:val="1"/>
    </w:lvl>
  </w:abstractNum>
  <w:abstractNum w:abstractNumId="129">
    <w:nsid w:val="61E74EA3"/>
    <w:multiLevelType w:val="hybridMultilevel"/>
    <w:lvl w:ilvl="0">
      <w:lvlJc w:val="left"/>
      <w:lvlText w:val="(%1)"/>
      <w:numFmt w:val="lowerLetter"/>
      <w:start w:val="9"/>
    </w:lvl>
    <w:lvl w:ilvl="1">
      <w:lvlJc w:val="left"/>
      <w:lvlText w:val="(%2)"/>
      <w:numFmt w:val="lowerLetter"/>
      <w:start w:val="2"/>
    </w:lvl>
  </w:abstractNum>
  <w:abstractNum w:abstractNumId="130">
    <w:nsid w:val="597B4D8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31">
    <w:nsid w:val="F819E7F"/>
    <w:multiLevelType w:val="hybridMultilevel"/>
    <w:lvl w:ilvl="0">
      <w:lvlJc w:val="left"/>
      <w:lvlText w:val="%1."/>
      <w:numFmt w:val="decimal"/>
      <w:start w:val="5"/>
    </w:lvl>
  </w:abstractNum>
  <w:abstractNum w:abstractNumId="132">
    <w:nsid w:val="57C7D42D"/>
    <w:multiLevelType w:val="hybridMultilevel"/>
    <w:lvl w:ilvl="0">
      <w:lvlJc w:val="left"/>
      <w:lvlText w:val="(%1)"/>
      <w:numFmt w:val="lowerLetter"/>
      <w:start w:val="1"/>
    </w:lvl>
    <w:lvl w:ilvl="1">
      <w:lvlJc w:val="left"/>
      <w:lvlText w:val="(%2)"/>
      <w:numFmt w:val="decimal"/>
      <w:start w:val="1"/>
    </w:lvl>
  </w:abstractNum>
  <w:abstractNum w:abstractNumId="133">
    <w:nsid w:val="312167AD"/>
    <w:multiLevelType w:val="hybridMultilevel"/>
    <w:lvl w:ilvl="0">
      <w:lvlJc w:val="left"/>
      <w:lvlText w:val="(%1)"/>
      <w:numFmt w:val="decimal"/>
      <w:start w:val="2"/>
    </w:lvl>
  </w:abstractNum>
  <w:abstractNum w:abstractNumId="134">
    <w:nsid w:val="631B64D4"/>
    <w:multiLevelType w:val="hybridMultilevel"/>
    <w:lvl w:ilvl="0">
      <w:lvlJc w:val="left"/>
      <w:lvlText w:val="(%1)"/>
      <w:numFmt w:val="decimal"/>
      <w:start w:val="1"/>
    </w:lvl>
  </w:abstractNum>
  <w:abstractNum w:abstractNumId="135">
    <w:nsid w:val="78B5E776"/>
    <w:multiLevelType w:val="hybridMultilevel"/>
    <w:lvl w:ilvl="0">
      <w:lvlJc w:val="left"/>
      <w:lvlText w:val="(%1)"/>
      <w:numFmt w:val="lowerLetter"/>
      <w:start w:val="6"/>
    </w:lvl>
    <w:lvl w:ilvl="1">
      <w:lvlJc w:val="left"/>
      <w:lvlText w:val="(%2)"/>
      <w:numFmt w:val="decimal"/>
      <w:start w:val="1"/>
    </w:lvl>
  </w:abstractNum>
  <w:abstractNum w:abstractNumId="136">
    <w:nsid w:val="75486E47"/>
    <w:multiLevelType w:val="hybridMultilevel"/>
    <w:lvl w:ilvl="0">
      <w:lvlJc w:val="left"/>
      <w:lvlText w:val="%1."/>
      <w:numFmt w:val="decimal"/>
      <w:start w:val="6"/>
    </w:lvl>
  </w:abstractNum>
  <w:abstractNum w:abstractNumId="137">
    <w:nsid w:val="6E534CDE"/>
    <w:multiLevelType w:val="hybridMultilevel"/>
    <w:lvl w:ilvl="0">
      <w:lvlJc w:val="left"/>
      <w:lvlText w:val="%1."/>
      <w:numFmt w:val="decimal"/>
      <w:start w:val="8"/>
    </w:lvl>
  </w:abstractNum>
  <w:abstractNum w:abstractNumId="138">
    <w:nsid w:val="1A0DDE32"/>
    <w:multiLevelType w:val="hybridMultilevel"/>
    <w:lvl w:ilvl="0">
      <w:lvlJc w:val="left"/>
      <w:lvlText w:val="(%1)"/>
      <w:numFmt w:val="lowerLetter"/>
      <w:start w:val="1"/>
    </w:lvl>
  </w:abstractNum>
  <w:abstractNum w:abstractNumId="139">
    <w:nsid w:val="65968C1C"/>
    <w:multiLevelType w:val="hybridMultilevel"/>
    <w:lvl w:ilvl="0">
      <w:lvlJc w:val="left"/>
      <w:lvlText w:val="(%1)"/>
      <w:numFmt w:val="lowerLetter"/>
      <w:start w:val="3"/>
    </w:lvl>
    <w:lvl w:ilvl="1">
      <w:lvlJc w:val="left"/>
      <w:lvlText w:val="(%2)"/>
      <w:numFmt w:val="decimal"/>
      <w:start w:val="1"/>
    </w:lvl>
  </w:abstractNum>
  <w:abstractNum w:abstractNumId="140">
    <w:nsid w:val="46263DEC"/>
    <w:multiLevelType w:val="hybridMultilevel"/>
    <w:lvl w:ilvl="0">
      <w:lvlJc w:val="left"/>
      <w:lvlText w:val="%1."/>
      <w:numFmt w:val="decimal"/>
      <w:start w:val="10"/>
    </w:lvl>
  </w:abstractNum>
  <w:abstractNum w:abstractNumId="141">
    <w:nsid w:val="260D8C4A"/>
    <w:multiLevelType w:val="hybridMultilevel"/>
    <w:lvl w:ilvl="0">
      <w:lvlJc w:val="left"/>
      <w:lvlText w:val="%1."/>
      <w:numFmt w:val="decimal"/>
      <w:start w:val="11"/>
    </w:lvl>
  </w:abstractNum>
  <w:abstractNum w:abstractNumId="142">
    <w:nsid w:val="73D4D3C4"/>
    <w:multiLevelType w:val="hybridMultilevel"/>
    <w:lvl w:ilvl="0">
      <w:lvlJc w:val="left"/>
      <w:lvlText w:val="%1."/>
      <w:numFmt w:val="decimal"/>
      <w:start w:val="1"/>
    </w:lvl>
  </w:abstractNum>
  <w:abstractNum w:abstractNumId="143">
    <w:nsid w:val="746F2E30"/>
    <w:multiLevelType w:val="hybridMultilevel"/>
    <w:lvl w:ilvl="0">
      <w:lvlJc w:val="left"/>
      <w:lvlText w:val="(%1)"/>
      <w:numFmt w:val="lowerLetter"/>
      <w:start w:val="1"/>
    </w:lvl>
  </w:abstractNum>
  <w:abstractNum w:abstractNumId="144">
    <w:nsid w:val="6FDE8AF6"/>
    <w:multiLevelType w:val="hybridMultilevel"/>
    <w:lvl w:ilvl="0">
      <w:lvlJc w:val="left"/>
      <w:lvlText w:val="(%1)"/>
      <w:numFmt w:val="lowerLetter"/>
      <w:start w:val="4"/>
    </w:lvl>
  </w:abstractNum>
  <w:abstractNum w:abstractNumId="145">
    <w:nsid w:val="3FC32E20"/>
    <w:multiLevelType w:val="hybridMultilevel"/>
    <w:lvl w:ilvl="0">
      <w:lvlJc w:val="left"/>
      <w:lvlText w:val="%1."/>
      <w:numFmt w:val="decimal"/>
      <w:start w:val="2"/>
    </w:lvl>
  </w:abstractNum>
  <w:abstractNum w:abstractNumId="146">
    <w:nsid w:val="49C0E823"/>
    <w:multiLevelType w:val="hybridMultilevel"/>
    <w:lvl w:ilvl="0">
      <w:lvlJc w:val="left"/>
      <w:lvlText w:val="%1."/>
      <w:numFmt w:val="decimal"/>
      <w:start w:val="4"/>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decimal"/>
      <w:start w:val="5"/>
    </w:lvl>
  </w:abstractNum>
  <w:abstractNum w:abstractNumId="149">
    <w:nsid w:val="6EAA85FB"/>
    <w:multiLevelType w:val="hybridMultilevel"/>
    <w:lvl w:ilvl="0">
      <w:lvlJc w:val="left"/>
      <w:lvlText w:val="(%1)"/>
      <w:numFmt w:val="lowerLetter"/>
      <w:start w:val="1"/>
    </w:lvl>
  </w:abstractNum>
  <w:abstractNum w:abstractNumId="150">
    <w:nsid w:val="3F06ECB2"/>
    <w:multiLevelType w:val="hybridMultilevel"/>
    <w:lvl w:ilvl="0">
      <w:lvlJc w:val="left"/>
      <w:lvlText w:val="(%1)"/>
      <w:numFmt w:val="lowerLetter"/>
      <w:start w:val="2"/>
    </w:lvl>
    <w:lvl w:ilvl="1">
      <w:lvlJc w:val="left"/>
      <w:lvlText w:val="(%2)"/>
      <w:numFmt w:val="decimal"/>
      <w:start w:val="1"/>
    </w:lvl>
  </w:abstractNum>
  <w:abstractNum w:abstractNumId="151">
    <w:nsid w:val="3B594807"/>
    <w:multiLevelType w:val="hybridMultilevel"/>
    <w:lvl w:ilvl="0">
      <w:lvlJc w:val="left"/>
      <w:lvlText w:val="%1"/>
      <w:numFmt w:val="lowerLetter"/>
      <w:start w:val="1"/>
    </w:lvl>
    <w:lvl w:ilvl="1">
      <w:lvlJc w:val="left"/>
      <w:lvlText w:val="(%2)"/>
      <w:numFmt w:val="decimal"/>
      <w:start w:val="2"/>
    </w:lvl>
  </w:abstractNum>
  <w:abstractNum w:abstractNumId="152">
    <w:nsid w:val="6CAA2304"/>
    <w:multiLevelType w:val="hybridMultilevel"/>
    <w:lvl w:ilvl="0">
      <w:lvlJc w:val="left"/>
      <w:lvlText w:val="(%1)"/>
      <w:numFmt w:val="lowerLetter"/>
      <w:start w:val="4"/>
    </w:lvl>
    <w:lvl w:ilvl="1">
      <w:lvlJc w:val="left"/>
      <w:lvlText w:val="%2"/>
      <w:numFmt w:val="decimal"/>
      <w:start w:val="1"/>
    </w:lvl>
  </w:abstractNum>
  <w:abstractNum w:abstractNumId="153">
    <w:nsid w:val="3F7C2FF4"/>
    <w:multiLevelType w:val="hybridMultilevel"/>
    <w:lvl w:ilvl="0">
      <w:lvlJc w:val="left"/>
      <w:lvlText w:val="%1."/>
      <w:numFmt w:val="decimal"/>
      <w:start w:val="9"/>
    </w:lvl>
  </w:abstractNum>
  <w:abstractNum w:abstractNumId="154">
    <w:nsid w:val="25413BEC"/>
    <w:multiLevelType w:val="hybridMultilevel"/>
    <w:lvl w:ilvl="0">
      <w:lvlJc w:val="left"/>
      <w:lvlText w:val="%1."/>
      <w:numFmt w:val="decimal"/>
      <w:start w:val="10"/>
    </w:lvl>
  </w:abstractNum>
  <w:abstractNum w:abstractNumId="155">
    <w:nsid w:val="17180B0B"/>
    <w:multiLevelType w:val="hybridMultilevel"/>
    <w:lvl w:ilvl="0">
      <w:lvlJc w:val="left"/>
      <w:lvlText w:val="%1."/>
      <w:numFmt w:val="decimal"/>
      <w:start w:val="1"/>
    </w:lvl>
  </w:abstractNum>
  <w:abstractNum w:abstractNumId="156">
    <w:nsid w:val="579328B9"/>
    <w:multiLevelType w:val="hybridMultilevel"/>
    <w:lvl w:ilvl="0">
      <w:lvlJc w:val="left"/>
      <w:lvlText w:val="%1."/>
      <w:numFmt w:val="decimal"/>
      <w:start w:val="1"/>
    </w:lvl>
  </w:abstractNum>
  <w:abstractNum w:abstractNumId="157">
    <w:nsid w:val="5D205E20"/>
    <w:multiLevelType w:val="hybridMultilevel"/>
    <w:lvl w:ilvl="0">
      <w:lvlJc w:val="left"/>
      <w:lvlText w:val="%1."/>
      <w:numFmt w:val="decimal"/>
      <w:start w:val="3"/>
    </w:lvl>
  </w:abstractNum>
  <w:abstractNum w:abstractNumId="158">
    <w:nsid w:val="11CCA8B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4" Type="http://schemas.openxmlformats.org/officeDocument/2006/relationships/hyperlink" Target="https://www.sec.gov/Archives/edgar/data/1130310/000119312522073412/d333523ddef14a.htm#toc333523_55" TargetMode="External"/><Relationship Id="rId15" Type="http://schemas.openxmlformats.org/officeDocument/2006/relationships/hyperlink" Target="https://www.sec.gov/Archives/edgar/data/1130310/000113031008000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2022-04-25T16:30:41Z</dcterms:created>
  <dcterms:modified xsi:type="dcterms:W3CDTF">2022-04-25T16:30:41Z</dcterms:modified>
</cp:coreProperties>
</file>