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ASSET-BACKED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REPORT 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For the initial distribution period from</w:t>
      </w:r>
    </w:p>
    <w:p>
      <w:pPr>
        <w:spacing w:after="0" w:line="2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September 17, 2025 to June 15, 2026</w:t>
      </w:r>
    </w:p>
    <w:p>
      <w:pPr>
        <w:spacing w:after="0" w:line="20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Commission File Number of issuing entity: 333-288206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issuing entity: 0002072436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CENTERPOINT ENERGY RESTORATION BOND COMPANY II, LLC</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issuing entity as specified in its charter</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of depositor and sponsor: 1-3187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Central Index Key Number of depositor and sponsor: 0000048732</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CENTERPOINT ENERGY HOUSTON ELECTRIC, LLC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depositor and sponsor as specified in its charter</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Kaydra Kirtz: (612) 743-3068</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and telephone number, including area code, of the person to contact in connection with this filing</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 incorporation or organization of the issuing entity</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39-2616236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I.R.S. Employer Identification No</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671" w:right="339" w:bottom="1440" w:gutter="0" w:footer="0" w:header="0"/>
        </w:sectPr>
      </w:pPr>
    </w:p>
    <w:p>
      <w:pPr>
        <w:spacing w:after="0" w:line="20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1111 Louisiana Street, Suite 4654B</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of the issuing entity)</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14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8280" w:space="720"/>
            <w:col w:w="2240"/>
          </w:cols>
          <w:pgMar w:left="320" w:top="671"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 207-7414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Telephone number, including area code</w:t>
      </w:r>
      <w:r>
        <w:rPr>
          <w:rFonts w:ascii="Times New Roman" w:cs="Times New Roman" w:eastAsia="Times New Roman" w:hAnsi="Times New Roman"/>
          <w:sz w:val="18"/>
          <w:szCs w:val="18"/>
          <w:color w:val="auto"/>
        </w:rPr>
        <w:t>)</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Registered/reporting pursuant to (check one)</w:t>
      </w:r>
    </w:p>
    <w:p>
      <w:pPr>
        <w:sectPr>
          <w:pgSz w:w="11900" w:h="16838" w:orient="portrait"/>
          <w:cols w:equalWidth="0" w:num="1">
            <w:col w:w="11240"/>
          </w:cols>
          <w:pgMar w:left="320" w:top="671" w:right="3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Series 2025-A Senior Secured System Restoration Bonds, Tranche A-1</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Series 2025-A Senior Secured System Restoration Bonds, Tranche A-2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Section 12(b)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12(g)</w:t>
      </w:r>
      <w:r>
        <w:rPr>
          <w:sz w:val="20"/>
          <w:szCs w:val="20"/>
          <w:color w:val="auto"/>
        </w:rPr>
        <w:tab/>
      </w:r>
      <w:r>
        <w:rPr>
          <w:rFonts w:ascii="Times New Roman" w:cs="Times New Roman" w:eastAsia="Times New Roman" w:hAnsi="Times New Roman"/>
          <w:sz w:val="17"/>
          <w:szCs w:val="17"/>
          <w:b w:val="1"/>
          <w:bCs w:val="1"/>
          <w:color w:val="auto"/>
        </w:rPr>
        <w:t>Section 15(d)</w:t>
      </w:r>
    </w:p>
    <w:p>
      <w:pPr>
        <w:spacing w:after="0" w:line="31" w:lineRule="exact"/>
        <w:rPr>
          <w:sz w:val="24"/>
          <w:szCs w:val="24"/>
          <w:color w:val="auto"/>
        </w:rPr>
      </w:pPr>
    </w:p>
    <w:p>
      <w:pPr>
        <w:ind w:left="1600"/>
        <w:spacing w:after="0" w:line="181" w:lineRule="exact"/>
        <w:rPr>
          <w:sz w:val="20"/>
          <w:szCs w:val="20"/>
          <w:color w:val="auto"/>
        </w:rPr>
      </w:pPr>
      <w:r>
        <w:rPr>
          <w:rFonts w:ascii="MS PGothic" w:cs="MS PGothic" w:eastAsia="MS PGothic" w:hAnsi="MS PGothic"/>
          <w:sz w:val="18"/>
          <w:szCs w:val="18"/>
          <w:color w:val="auto"/>
        </w:rPr>
        <w:t>☒</w:t>
      </w:r>
    </w:p>
    <w:p>
      <w:pPr>
        <w:spacing w:after="0" w:line="45" w:lineRule="exact"/>
        <w:rPr>
          <w:sz w:val="24"/>
          <w:szCs w:val="24"/>
          <w:color w:val="auto"/>
        </w:rPr>
      </w:pPr>
    </w:p>
    <w:p>
      <w:pPr>
        <w:ind w:left="160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both"/>
        <w:ind w:right="140" w:hanging="49"/>
        <w:spacing w:after="0" w:line="317" w:lineRule="auto"/>
        <w:rPr>
          <w:sz w:val="20"/>
          <w:szCs w:val="20"/>
          <w:color w:val="auto"/>
        </w:rPr>
      </w:pPr>
      <w:r>
        <w:rPr>
          <w:rFonts w:ascii="Times New Roman" w:cs="Times New Roman" w:eastAsia="Times New Roman" w:hAnsi="Times New Roman"/>
          <w:sz w:val="17"/>
          <w:szCs w:val="17"/>
          <w:b w:val="1"/>
          <w:bCs w:val="1"/>
          <w:color w:val="auto"/>
        </w:rPr>
        <w:t>Name of exchange (If Section 12(b))</w:t>
      </w:r>
    </w:p>
    <w:p>
      <w:pPr>
        <w:spacing w:after="0" w:line="560" w:lineRule="exact"/>
        <w:rPr>
          <w:sz w:val="24"/>
          <w:szCs w:val="24"/>
          <w:color w:val="auto"/>
        </w:rPr>
      </w:pPr>
    </w:p>
    <w:p>
      <w:pPr>
        <w:sectPr>
          <w:pgSz w:w="11900" w:h="16838" w:orient="portrait"/>
          <w:cols w:equalWidth="0" w:num="4">
            <w:col w:w="5400" w:space="720"/>
            <w:col w:w="1000" w:space="180"/>
            <w:col w:w="2180" w:space="280"/>
            <w:col w:w="1480"/>
          </w:cols>
          <w:pgMar w:left="320" w:top="671" w:right="339" w:bottom="1440" w:gutter="0" w:footer="0" w:header="0"/>
          <w:type w:val="continuous"/>
        </w:sectPr>
      </w:pPr>
    </w:p>
    <w:p>
      <w:pPr>
        <w:spacing w:after="0" w:line="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PART I - DISTRIBUTION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Distribution and Pool Performance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response to Item 1 is set forth in part herein and in part in Exhibit 99.1.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record date for distributions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interest and scheduled principal payments) described in Exhibit 99.1 is June 12, 2026.</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Introductory and explanatory information regarding the material terms, parties and distributions described in Exhibit 99.1 is included in the Prospectus dated September 9, 2025, of CenterPoint Energy Restoration Bond Company II, LLC (the “Issuing Entity”) relating to its Series 2025-A Senior Secured System Restoration Bonds (the “2025-A System Restoration Bonds”) filed with the Securities and Exchange Commission (“SEC”) pursuant to Rule 424(b)</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of the Securities Act of 1933, as amended, on September 11,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indicated in Exhibit 99.1, all required interest and scheduled principal payments on the 2025-A System Restoration Bonds have been made with respect to the June 15, 2026 distribution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Asset-Level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Asset Representations Reviewer and Investor Communication.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Sales of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Significant Obligors of Pool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Change in Sponsor Interest in the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Significant Enhancement Provider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C of Form 10-D.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  Documents filed as a part of this report (exhibits marked with an asterisk are filed herewith):</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*99.1Semi-annual Servicer’s Certificate relating to the 2025-A System Restoration Bonds dated June 8, 2026.</w:t>
      </w:r>
    </w:p>
    <w:p>
      <w:pPr>
        <w:spacing w:after="0" w:line="225" w:lineRule="exact"/>
        <w:rPr>
          <w:sz w:val="20"/>
          <w:szCs w:val="20"/>
          <w:color w:val="auto"/>
        </w:rPr>
      </w:pPr>
    </w:p>
    <w:p>
      <w:pPr>
        <w:ind w:left="380" w:hanging="318"/>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this Form and Item 601 of Regulation S-K (exhibits marked with an asterisk are filed herewith; all exhibits not so designated are incorporated by reference to a prior filing):</w:t>
      </w:r>
    </w:p>
    <w:p>
      <w:pPr>
        <w:spacing w:after="0" w:line="162" w:lineRule="exact"/>
        <w:rPr>
          <w:sz w:val="20"/>
          <w:szCs w:val="20"/>
          <w:color w:val="auto"/>
        </w:rPr>
      </w:pPr>
    </w:p>
    <w:p>
      <w:pPr>
        <w:jc w:val="both"/>
        <w:ind w:left="380" w:hanging="323"/>
        <w:spacing w:after="0" w:line="282" w:lineRule="auto"/>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3.1 Certificate of Formation of CenterPoint Energy Restoration Bond Company II, LLC, dated as of June 5, 2025 (incorporated by reference to exhibit 3.1</w:t>
        </w:r>
      </w:hyperlink>
      <w:r>
        <w:rPr>
          <w:rFonts w:ascii="Times New Roman" w:cs="Times New Roman" w:eastAsia="Times New Roman" w:hAnsi="Times New Roman"/>
          <w:sz w:val="18"/>
          <w:szCs w:val="18"/>
          <w:u w:val="single" w:color="auto"/>
          <w:color w:val="0000EE"/>
        </w:rPr>
        <w:t xml:space="preserve"> </w:t>
      </w:r>
      <w:hyperlink r:id="rId16">
        <w:r>
          <w:rPr>
            <w:rFonts w:ascii="Times New Roman" w:cs="Times New Roman" w:eastAsia="Times New Roman" w:hAnsi="Times New Roman"/>
            <w:sz w:val="18"/>
            <w:szCs w:val="18"/>
            <w:u w:val="single" w:color="auto"/>
            <w:color w:val="0000EE"/>
          </w:rPr>
          <w:t>included as an exhibit to the Issuing Entity’s Registration Statement on Form SF-1 filed June 20, 2025 (Registration No. 333-288206-01)).</w:t>
        </w:r>
      </w:hyperlink>
    </w:p>
    <w:p>
      <w:pPr>
        <w:spacing w:after="0" w:line="162" w:lineRule="exact"/>
        <w:rPr>
          <w:sz w:val="20"/>
          <w:szCs w:val="20"/>
          <w:color w:val="auto"/>
        </w:rPr>
      </w:pPr>
    </w:p>
    <w:p>
      <w:pPr>
        <w:jc w:val="both"/>
        <w:ind w:left="380" w:hanging="323"/>
        <w:spacing w:after="0" w:line="266" w:lineRule="auto"/>
        <w:rPr>
          <w:rFonts w:ascii="Times New Roman" w:cs="Times New Roman" w:eastAsia="Times New Roman" w:hAnsi="Times New Roman"/>
          <w:sz w:val="18"/>
          <w:szCs w:val="18"/>
          <w:u w:val="single" w:color="auto"/>
          <w:color w:val="0000EE"/>
        </w:rPr>
      </w:pPr>
      <w:hyperlink r:id="rId17">
        <w:r>
          <w:rPr>
            <w:rFonts w:ascii="Times New Roman" w:cs="Times New Roman" w:eastAsia="Times New Roman" w:hAnsi="Times New Roman"/>
            <w:sz w:val="18"/>
            <w:szCs w:val="18"/>
            <w:u w:val="single" w:color="auto"/>
            <w:color w:val="0000EE"/>
          </w:rPr>
          <w:t>3.2 Amended and Restated Limited Liability Company Agreement of CenterPoint Energy Restoration Bond Company II, LLC, dated as of September 17,</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2025 (incorporated by reference to exhibit 3.1 included as an exhibit to the Issuing Entity’s Current Report on Form 8-K filed September 17, 2025</w:t>
        </w:r>
      </w:hyperlink>
      <w:r>
        <w:rPr>
          <w:rFonts w:ascii="Times New Roman" w:cs="Times New Roman" w:eastAsia="Times New Roman" w:hAnsi="Times New Roman"/>
          <w:sz w:val="18"/>
          <w:szCs w:val="18"/>
          <w:u w:val="single" w:color="auto"/>
          <w:color w:val="0000EE"/>
        </w:rPr>
        <w:t xml:space="preserve"> </w:t>
      </w:r>
      <w:hyperlink r:id="rId17">
        <w:r>
          <w:rPr>
            <w:rFonts w:ascii="Times New Roman" w:cs="Times New Roman" w:eastAsia="Times New Roman" w:hAnsi="Times New Roman"/>
            <w:sz w:val="18"/>
            <w:szCs w:val="18"/>
            <w:u w:val="single" w:color="auto"/>
            <w:color w:val="0000EE"/>
          </w:rPr>
          <w:t>(Registration No. 333-288206-01)).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380" w:hanging="323"/>
        <w:spacing w:after="0" w:line="261" w:lineRule="auto"/>
        <w:rPr>
          <w:rFonts w:ascii="Times New Roman" w:cs="Times New Roman" w:eastAsia="Times New Roman" w:hAnsi="Times New Roman"/>
          <w:sz w:val="18"/>
          <w:szCs w:val="18"/>
          <w:u w:val="single" w:color="auto"/>
          <w:color w:val="0000EE"/>
        </w:rPr>
      </w:pPr>
      <w:hyperlink r:id="rId18">
        <w:r>
          <w:rPr>
            <w:rFonts w:ascii="Times New Roman" w:cs="Times New Roman" w:eastAsia="Times New Roman" w:hAnsi="Times New Roman"/>
            <w:sz w:val="18"/>
            <w:szCs w:val="18"/>
            <w:u w:val="single" w:color="auto"/>
            <w:color w:val="0000EE"/>
          </w:rPr>
          <w:t>4.1 Indenture by and among CenterPoint Energy Restoration Bond Company II, LLC, U.S. Bank Trust Company, National Association, as Indenture</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Trustee, and U.S. Bank National Association, as Securities Intermediary (including the forms of the 2025-A System Restoration Bonds and the form</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of Series Supplement), dated as of September 17, 2025 (incorporated by reference to exhibit 4.1 included as an exhibit to the Issuing Entity’s Current</w:t>
        </w:r>
      </w:hyperlink>
      <w:r>
        <w:rPr>
          <w:rFonts w:ascii="Times New Roman" w:cs="Times New Roman" w:eastAsia="Times New Roman" w:hAnsi="Times New Roman"/>
          <w:sz w:val="18"/>
          <w:szCs w:val="18"/>
          <w:u w:val="single" w:color="auto"/>
          <w:color w:val="0000EE"/>
        </w:rPr>
        <w:t xml:space="preserve"> </w:t>
      </w:r>
      <w:hyperlink r:id="rId18">
        <w:r>
          <w:rPr>
            <w:rFonts w:ascii="Times New Roman" w:cs="Times New Roman" w:eastAsia="Times New Roman" w:hAnsi="Times New Roman"/>
            <w:sz w:val="18"/>
            <w:szCs w:val="18"/>
            <w:u w:val="single" w:color="auto"/>
            <w:color w:val="0000EE"/>
          </w:rPr>
          <w:t>Report on Form 8-K filed September 17, 2025 (Registration No. 333-288206-01)).</w:t>
        </w:r>
      </w:hyperlink>
    </w:p>
    <w:p>
      <w:pPr>
        <w:spacing w:after="0" w:line="180" w:lineRule="exact"/>
        <w:rPr>
          <w:rFonts w:ascii="Times New Roman" w:cs="Times New Roman" w:eastAsia="Times New Roman" w:hAnsi="Times New Roman"/>
          <w:sz w:val="18"/>
          <w:szCs w:val="18"/>
          <w:u w:val="single" w:color="auto"/>
          <w:color w:val="0000EE"/>
        </w:rPr>
      </w:pPr>
    </w:p>
    <w:p>
      <w:pPr>
        <w:jc w:val="both"/>
        <w:ind w:left="380" w:hanging="323"/>
        <w:spacing w:after="0" w:line="266"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u w:val="single" w:color="auto"/>
            <w:color w:val="0000EE"/>
          </w:rPr>
          <w:t>4.2 Series Supplement by and between CenterPoint Energy Restoration Bond Company II, LLC and U.S. Bank Trust Company, National Association, as</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Indenture Trustee, dated as of September 17, 2025 (incorporated by reference to exhibit 4.2 included as an exhibit to the Issuing Entity’s Current</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Report on Form 8-K filed September 17, 2025 (Registration No. 333-288206-01)).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380" w:hanging="323"/>
        <w:spacing w:after="0" w:line="266" w:lineRule="auto"/>
        <w:rPr>
          <w:rFonts w:ascii="Times New Roman" w:cs="Times New Roman" w:eastAsia="Times New Roman" w:hAnsi="Times New Roman"/>
          <w:sz w:val="18"/>
          <w:szCs w:val="18"/>
          <w:u w:val="single" w:color="auto"/>
          <w:color w:val="0000EE"/>
        </w:rPr>
      </w:pPr>
      <w:hyperlink r:id="rId20">
        <w:r>
          <w:rPr>
            <w:rFonts w:ascii="Times New Roman" w:cs="Times New Roman" w:eastAsia="Times New Roman" w:hAnsi="Times New Roman"/>
            <w:sz w:val="18"/>
            <w:szCs w:val="18"/>
            <w:u w:val="single" w:color="auto"/>
            <w:color w:val="0000EE"/>
          </w:rPr>
          <w:t>10.1System Restoration Property Servicing Agreement by and between CenterPoint Energy Restoration Bond Company II, LLC and CenterPoint Energy</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Houston Electric, LLC, as Servicer, dated as of September 17, 2025 (incorporated by reference to exhibit 10.1 included as an exhibit to the Issuing</w:t>
        </w:r>
      </w:hyperlink>
      <w:r>
        <w:rPr>
          <w:rFonts w:ascii="Times New Roman" w:cs="Times New Roman" w:eastAsia="Times New Roman" w:hAnsi="Times New Roman"/>
          <w:sz w:val="18"/>
          <w:szCs w:val="18"/>
          <w:u w:val="single" w:color="auto"/>
          <w:color w:val="0000EE"/>
        </w:rPr>
        <w:t xml:space="preserve"> </w:t>
      </w:r>
      <w:hyperlink r:id="rId20">
        <w:r>
          <w:rPr>
            <w:rFonts w:ascii="Times New Roman" w:cs="Times New Roman" w:eastAsia="Times New Roman" w:hAnsi="Times New Roman"/>
            <w:sz w:val="18"/>
            <w:szCs w:val="18"/>
            <w:u w:val="single" w:color="auto"/>
            <w:color w:val="0000EE"/>
          </w:rPr>
          <w:t>Entity’s Current Report on Form 8-K filed September 17, 2025 (Registration No. 333-288206-01)).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380" w:hanging="323"/>
        <w:spacing w:after="0" w:line="266" w:lineRule="auto"/>
        <w:rPr>
          <w:rFonts w:ascii="Times New Roman" w:cs="Times New Roman" w:eastAsia="Times New Roman" w:hAnsi="Times New Roman"/>
          <w:sz w:val="18"/>
          <w:szCs w:val="18"/>
          <w:u w:val="single" w:color="auto"/>
          <w:color w:val="0000EE"/>
        </w:rPr>
      </w:pPr>
      <w:hyperlink r:id="rId21">
        <w:r>
          <w:rPr>
            <w:rFonts w:ascii="Times New Roman" w:cs="Times New Roman" w:eastAsia="Times New Roman" w:hAnsi="Times New Roman"/>
            <w:sz w:val="18"/>
            <w:szCs w:val="18"/>
            <w:u w:val="single" w:color="auto"/>
            <w:color w:val="0000EE"/>
          </w:rPr>
          <w:t>10.2System Restoration Property Sale Agreement by and between CenterPoint Energy Restoration Bond Company II, LLC and CenterPoint Energy</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Houston Electric, LLC, as Seller, dated as of September 17, 2025 (incorporated by reference to exhibit 10.2 included as an exhibit to the Issuing</w:t>
        </w:r>
      </w:hyperlink>
      <w:r>
        <w:rPr>
          <w:rFonts w:ascii="Times New Roman" w:cs="Times New Roman" w:eastAsia="Times New Roman" w:hAnsi="Times New Roman"/>
          <w:sz w:val="18"/>
          <w:szCs w:val="18"/>
          <w:u w:val="single" w:color="auto"/>
          <w:color w:val="0000EE"/>
        </w:rPr>
        <w:t xml:space="preserve"> </w:t>
      </w:r>
      <w:hyperlink r:id="rId21">
        <w:r>
          <w:rPr>
            <w:rFonts w:ascii="Times New Roman" w:cs="Times New Roman" w:eastAsia="Times New Roman" w:hAnsi="Times New Roman"/>
            <w:sz w:val="18"/>
            <w:szCs w:val="18"/>
            <w:u w:val="single" w:color="auto"/>
            <w:color w:val="0000EE"/>
          </w:rPr>
          <w:t>Entity’s Current Report on Form 8-K filed September 17, 2025 (Registration No. 333-288206-01)).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380" w:hanging="323"/>
        <w:spacing w:after="0" w:line="266" w:lineRule="auto"/>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10.3Administration Agreement by and between CenterPoint Energy Restoration Bond Company II, LLC and CenterPoint Energy Houston Electric, LLC,</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as Administrator, dated as of September 17, 2025 (incorporated by reference to exhibit 10.3 included as an exhibit to the Issuing Entity’s Current</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Report on Form 8-K filed September 17, 2025 (Registration No. 333-288206-01)).</w:t>
        </w:r>
      </w:hyperlink>
    </w:p>
    <w:p>
      <w:pPr>
        <w:spacing w:after="0" w:line="176" w:lineRule="exact"/>
        <w:rPr>
          <w:rFonts w:ascii="Times New Roman" w:cs="Times New Roman" w:eastAsia="Times New Roman" w:hAnsi="Times New Roman"/>
          <w:sz w:val="18"/>
          <w:szCs w:val="18"/>
          <w:u w:val="single" w:color="auto"/>
          <w:color w:val="0000EE"/>
        </w:rPr>
      </w:pPr>
    </w:p>
    <w:p>
      <w:pPr>
        <w:ind w:left="80"/>
        <w:spacing w:after="0"/>
        <w:rPr>
          <w:sz w:val="20"/>
          <w:szCs w:val="20"/>
          <w:color w:val="auto"/>
        </w:rPr>
      </w:pPr>
      <w:r>
        <w:rPr>
          <w:rFonts w:ascii="Times New Roman" w:cs="Times New Roman" w:eastAsia="Times New Roman" w:hAnsi="Times New Roman"/>
          <w:sz w:val="18"/>
          <w:szCs w:val="18"/>
          <w:u w:val="single" w:color="auto"/>
          <w:color w:val="0000EE"/>
        </w:rPr>
        <w:t>*99.1Semi-annual Servicer’s Certificate relating to the 2025-A System Restoration Bonds dated June 8, 2026.</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CENTERPOINT ENERGY HOUSTON ELECTRIC,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(Depositor)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Kaydra Kirtz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Kaydra Kirtz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SEMI-ANNUAL SERVICER’S CERTIFICATE</w:t>
      </w:r>
    </w:p>
    <w:p>
      <w:pPr>
        <w:spacing w:after="0" w:line="31" w:lineRule="exact"/>
        <w:rPr>
          <w:sz w:val="20"/>
          <w:szCs w:val="20"/>
          <w:color w:val="auto"/>
        </w:rPr>
      </w:pPr>
    </w:p>
    <w:p>
      <w:pPr>
        <w:ind w:left="2940" w:right="2800" w:hanging="178"/>
        <w:spacing w:after="0" w:line="290" w:lineRule="auto"/>
        <w:rPr>
          <w:sz w:val="20"/>
          <w:szCs w:val="20"/>
          <w:color w:val="auto"/>
        </w:rPr>
      </w:pPr>
      <w:r>
        <w:rPr>
          <w:rFonts w:ascii="Times New Roman" w:cs="Times New Roman" w:eastAsia="Times New Roman" w:hAnsi="Times New Roman"/>
          <w:sz w:val="17"/>
          <w:szCs w:val="17"/>
          <w:b w:val="1"/>
          <w:bCs w:val="1"/>
          <w:color w:val="auto"/>
        </w:rPr>
        <w:t>CENTERPOINT ENERGY RESTORATION BOND COMPANY II, LLC $401,521,000 Series 2025-A Senior Secured System Restoration Bonds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4.01(f)(ii)(A) of the System Restoration Property Servicing Agreement, dated as of September 17, 2025, by and between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CENTERPOINT ENERGY HOUSTON ELECTRIC, LLC, as Servicer, and CENTERPOINT ENERGY RESTORATION BOND COMPANY II, LLC, as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“Servicing Agreement”), the Servicer does hereby certify as follows, for the June 15, 2026 Payment Date (the “Current Payment Date”), as follows:</w:t>
      </w:r>
    </w:p>
    <w:p>
      <w:pPr>
        <w:spacing w:after="0" w:line="207" w:lineRule="exact"/>
        <w:rPr>
          <w:sz w:val="20"/>
          <w:szCs w:val="20"/>
          <w:color w:val="auto"/>
        </w:rPr>
      </w:pPr>
    </w:p>
    <w:p>
      <w:pPr>
        <w:jc w:val="center"/>
        <w:ind w:left="340" w:right="100"/>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in this Semi-Annual Servicer’s Certificate have their respective meanings as set forth in the Servicing Agreement. References herein to certain sections and subsections are references to the respective sections of the the Servicing Agreement or the Indenture, as the context indicates.</w:t>
      </w:r>
    </w:p>
    <w:p>
      <w:pPr>
        <w:spacing w:after="0" w:line="17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Collection Periods: September 17, 2025 to June 8, 2026</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Payment Date: June 15, 2026</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Cut-off Date: June 8,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(a)</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Available amounts on deposit in Collection Account (including Excess Funds Subaccount) as of the Cut-Off Date:</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36,572,551.30</w:t>
            </w:r>
          </w:p>
        </w:tc>
      </w:tr>
      <w:tr>
        <w:trPr>
          <w:trHeight w:val="234"/>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(b)</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Actual Remittances from the date in (a) above through the Servicer Business Day preceding the Current Payment Date:</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28"/>
        </w:trPr>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w:t>
            </w:r>
          </w:p>
        </w:tc>
        <w:tc>
          <w:tcPr>
            <w:tcW w:w="9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amounts available to the Trustee for payment of the Bonds and Ongoing Qualified Costs: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36,572,551.30</w:t>
            </w:r>
          </w:p>
        </w:tc>
        <w:tc>
          <w:tcPr>
            <w:tcW w:w="20" w:type="dxa"/>
            <w:vAlign w:val="bottom"/>
          </w:tcPr>
          <w:p>
            <w:pPr>
              <w:spacing w:after="0"/>
              <w:rPr>
                <w:sz w:val="19"/>
                <w:szCs w:val="19"/>
                <w:color w:val="auto"/>
              </w:rPr>
            </w:pPr>
          </w:p>
        </w:tc>
      </w:tr>
    </w:tbl>
    <w:p>
      <w:pPr>
        <w:spacing w:after="0" w:line="175" w:lineRule="exact"/>
        <w:rPr>
          <w:sz w:val="20"/>
          <w:szCs w:val="20"/>
          <w:color w:val="auto"/>
        </w:rPr>
      </w:pPr>
    </w:p>
    <w:p>
      <w:pPr>
        <w:ind w:left="240" w:hanging="232"/>
        <w:spacing w:after="0" w:line="286" w:lineRule="auto"/>
        <w:tabs>
          <w:tab w:leader="none" w:pos="2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available amounts as of the Current Payment Date allocable to payment of principal and interest on the Bonds on the Current Payment Date:</w:t>
      </w:r>
    </w:p>
    <w:p>
      <w:pPr>
        <w:spacing w:after="0" w:line="159" w:lineRule="exact"/>
        <w:rPr>
          <w:sz w:val="20"/>
          <w:szCs w:val="20"/>
          <w:color w:val="auto"/>
        </w:rPr>
      </w:pPr>
    </w:p>
    <w:p>
      <w:pPr>
        <w:ind w:left="920" w:hanging="683"/>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16,098,872.91</w:t>
            </w:r>
          </w:p>
        </w:tc>
      </w:tr>
      <w:tr>
        <w:trPr>
          <w:trHeight w:val="21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16,098,872.91</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7,631,186.96</w:t>
            </w:r>
          </w:p>
        </w:tc>
        <w:tc>
          <w:tcPr>
            <w:tcW w:w="20" w:type="dxa"/>
            <w:vAlign w:val="bottom"/>
          </w:tcPr>
          <w:p>
            <w:pPr>
              <w:spacing w:after="0"/>
              <w:rPr>
                <w:sz w:val="18"/>
                <w:szCs w:val="18"/>
                <w:color w:val="auto"/>
              </w:rPr>
            </w:pPr>
          </w:p>
        </w:tc>
      </w:tr>
      <w:tr>
        <w:trPr>
          <w:trHeight w:val="24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5,770,145.77</w:t>
            </w:r>
          </w:p>
        </w:tc>
        <w:tc>
          <w:tcPr>
            <w:tcW w:w="20" w:type="dxa"/>
            <w:vAlign w:val="bottom"/>
          </w:tcPr>
          <w:p>
            <w:pPr>
              <w:spacing w:after="0"/>
              <w:rPr>
                <w:sz w:val="21"/>
                <w:szCs w:val="21"/>
                <w:color w:val="auto"/>
              </w:rPr>
            </w:pP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13,401,332.73</w:t>
            </w:r>
          </w:p>
        </w:tc>
        <w:tc>
          <w:tcPr>
            <w:tcW w:w="20" w:type="dxa"/>
            <w:vAlign w:val="bottom"/>
            <w:tcBorders>
              <w:bottom w:val="single" w:sz="8" w:color="auto"/>
            </w:tcBorders>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240" w:hanging="232"/>
        <w:spacing w:after="0" w:line="268" w:lineRule="auto"/>
        <w:tabs>
          <w:tab w:leader="none" w:pos="2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 of the Bonds prior to, and after giving effect to the payment on the Current Payment Date and the difference, if any, between the Outstanding Amount specified in the Expected Amortization Schedule (after giving effect to payments to be made on such Payment Date under 1a above) and the expected principal balance to be Outstanding (following payment on the Current Payment Date):</w:t>
      </w:r>
    </w:p>
    <w:p>
      <w:pPr>
        <w:spacing w:after="0" w:line="175" w:lineRule="exact"/>
        <w:rPr>
          <w:sz w:val="20"/>
          <w:szCs w:val="20"/>
          <w:color w:val="auto"/>
        </w:rPr>
      </w:pPr>
    </w:p>
    <w:p>
      <w:pPr>
        <w:ind w:left="920" w:hanging="683"/>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principal balance Outstanding (as of the date of this certification):</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240,913,000.00</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160,608,000.00</w:t>
            </w: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401,521,000.00</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principal balance to be Outstanding (following payment on the Current Payment Date):</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224,814,127.09</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160,608,000.00</w:t>
            </w: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385,422,127.09</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 between (b) above and Outstanding Amount specified in Expected Amortization Schedule:</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Tranche A-2</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40" w:right="520" w:hanging="232"/>
        <w:spacing w:after="0" w:line="286" w:lineRule="auto"/>
        <w:tabs>
          <w:tab w:leader="none" w:pos="2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 transfers to be made on the Current Payment Date, including amounts to be paid to the Trustee and to the Servicer pursuant to Section 8.02(e) of the Indenture:</w:t>
      </w:r>
    </w:p>
    <w:p>
      <w:pPr>
        <w:spacing w:after="0" w:line="159" w:lineRule="exact"/>
        <w:rPr>
          <w:sz w:val="20"/>
          <w:szCs w:val="20"/>
          <w:color w:val="auto"/>
        </w:rPr>
      </w:pPr>
    </w:p>
    <w:p>
      <w:pPr>
        <w:ind w:left="920" w:hanging="683"/>
        <w:spacing w:after="0"/>
        <w:tabs>
          <w:tab w:leader="none" w:pos="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Ongoing Qualified Costs</w:t>
      </w: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Trustee Fees and Expenses (subject to $200,000 annual cap per Section 8.02(e)(i) of the Indenture):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56"/>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c>
          <w:tcPr>
            <w:tcW w:w="8940" w:type="dxa"/>
            <w:vAlign w:val="bottom"/>
          </w:tcPr>
          <w:p>
            <w:pPr>
              <w:ind w:left="60"/>
              <w:spacing w:after="0" w:line="256" w:lineRule="exact"/>
              <w:rPr>
                <w:sz w:val="20"/>
                <w:szCs w:val="20"/>
                <w:color w:val="auto"/>
              </w:rPr>
            </w:pPr>
            <w:r>
              <w:rPr>
                <w:rFonts w:ascii="Times New Roman" w:cs="Times New Roman" w:eastAsia="Times New Roman" w:hAnsi="Times New Roman"/>
                <w:sz w:val="18"/>
                <w:szCs w:val="18"/>
                <w:color w:val="auto"/>
              </w:rPr>
              <w:t>Servicing Fee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224,182.56</w:t>
            </w:r>
          </w:p>
        </w:tc>
      </w:tr>
      <w:tr>
        <w:trPr>
          <w:trHeight w:val="248"/>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1"/>
              </w:rPr>
              <w:t>iii.</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Issuer’s Fees: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iv.</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228,182.56</w:t>
            </w:r>
          </w:p>
        </w:tc>
      </w:tr>
      <w:tr>
        <w:trPr>
          <w:trHeight w:val="20"/>
        </w:trPr>
        <w:tc>
          <w:tcPr>
            <w:tcW w:w="26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920" w:hanging="683"/>
        <w:spacing w:after="0"/>
        <w:tabs>
          <w:tab w:leader="none" w:pos="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Ongoing Qualified Costs and Payments</w:t>
      </w:r>
    </w:p>
    <w:p>
      <w:pPr>
        <w:sectPr>
          <w:pgSz w:w="11900" w:h="16838" w:orient="portrait"/>
          <w:cols w:equalWidth="0" w:num="1">
            <w:col w:w="11240"/>
          </w:cols>
          <w:pgMar w:left="320" w:top="360" w:right="339" w:bottom="0" w:gutter="0" w:footer="0" w:header="0"/>
        </w:sectPr>
      </w:pP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  Other Ongoing Qualified Costs (payable pursuant to Section 8.02(e)(v) of the Indenture):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Funding of Capital Subaccount to the Required Capital Amount</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ectPr>
          <w:pgSz w:w="11900" w:h="16838" w:orient="portrait"/>
          <w:cols w:equalWidth="0" w:num="2">
            <w:col w:w="10360" w:space="720"/>
            <w:col w:w="160"/>
          </w:cols>
          <w:pgMar w:left="320" w:top="360" w:right="339" w:bottom="0" w:gutter="0" w:footer="0" w:header="0"/>
          <w:type w:val="continuous"/>
        </w:sectPr>
      </w:pPr>
    </w:p>
    <w:p>
      <w:pPr>
        <w:ind w:left="920" w:right="1620" w:hanging="310"/>
        <w:spacing w:after="0" w:line="265" w:lineRule="auto"/>
        <w:tabs>
          <w:tab w:leader="none" w:pos="9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unpaid Issuance Costs of the Issuer, any remaining fees, expenses and indemnity amounts owed to the Trustee and any remaining indemnity amounts owed to the Issuer shall be paid to the parties to which such amounts, if any, are</w:t>
      </w:r>
    </w:p>
    <w:tbl>
      <w:tblPr>
        <w:tblLayout w:type="fixed"/>
        <w:tblInd w:w="640" w:type="dxa"/>
        <w:tblCellMar>
          <w:top w:w="0" w:type="dxa"/>
          <w:left w:w="0" w:type="dxa"/>
          <w:bottom w:w="0" w:type="dxa"/>
          <w:right w:w="0" w:type="dxa"/>
        </w:tblCellMar>
      </w:tblPr>
      <w:tr>
        <w:trPr>
          <w:trHeight w:val="198"/>
        </w:trPr>
        <w:tc>
          <w:tcPr>
            <w:tcW w:w="220" w:type="dxa"/>
            <w:vAlign w:val="bottom"/>
          </w:tcPr>
          <w:p>
            <w:pPr>
              <w:spacing w:after="0"/>
              <w:rPr>
                <w:sz w:val="17"/>
                <w:szCs w:val="17"/>
                <w:color w:val="auto"/>
              </w:rPr>
            </w:pPr>
          </w:p>
        </w:tc>
        <w:tc>
          <w:tcPr>
            <w:tcW w:w="89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owed, pursuant to Section 8.02(e)(viii) of the Indenture:</w:t>
            </w:r>
          </w:p>
        </w:tc>
        <w:tc>
          <w:tcPr>
            <w:tcW w:w="13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5"/>
              </w:rPr>
              <w:t>iv.</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Deposits to Excess Funds Subaccount: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4,507,330.25</w:t>
            </w:r>
          </w:p>
        </w:tc>
      </w:tr>
      <w:tr>
        <w:trPr>
          <w:trHeight w:val="209"/>
        </w:trPr>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w:t>
            </w:r>
          </w:p>
        </w:tc>
        <w:tc>
          <w:tcPr>
            <w:tcW w:w="8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4,507,330.25</w:t>
            </w:r>
          </w:p>
        </w:tc>
      </w:tr>
      <w:tr>
        <w:trPr>
          <w:trHeight w:val="20"/>
        </w:trPr>
        <w:tc>
          <w:tcPr>
            <w:tcW w:w="2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0" w:right="339" w:bottom="0" w:gutter="0" w:footer="0" w:header="0"/>
          <w:type w:val="continuous"/>
        </w:sectPr>
      </w:pPr>
    </w:p>
    <w:bookmarkStart w:id="5" w:name="page6"/>
    <w:bookmarkEnd w:id="5"/>
    <w:p>
      <w:pPr>
        <w:ind w:left="920" w:hanging="116"/>
        <w:spacing w:after="0" w:line="195" w:lineRule="auto"/>
        <w:tabs>
          <w:tab w:leader="none" w:pos="9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Servicing fee includes 9/17/2025 - 6/15/2026 based on 360-day year in which servicer performed duties: $401,521,000 x .075% x 268/360 = $224,182.56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Estimated amounts on deposit in the Capital Subaccount and Excess Funds Subaccount after giving effect to the foregoing payments:</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ind w:left="920" w:hanging="683"/>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Subaccount</w:t>
      </w:r>
    </w:p>
    <w:p>
      <w:pPr>
        <w:spacing w:after="0" w:line="36" w:lineRule="exact"/>
        <w:rPr>
          <w:rFonts w:ascii="Times New Roman" w:cs="Times New Roman" w:eastAsia="Times New Roman" w:hAnsi="Times New Roman"/>
          <w:sz w:val="18"/>
          <w:szCs w:val="18"/>
          <w:color w:val="auto"/>
        </w:rPr>
      </w:pPr>
    </w:p>
    <w:p>
      <w:pPr>
        <w:ind w:left="920" w:hanging="210"/>
        <w:spacing w:after="0"/>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w:t>
      </w:r>
    </w:p>
    <w:p>
      <w:pPr>
        <w:spacing w:after="0" w:line="252"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Funds Subaccount</w:t>
      </w:r>
    </w:p>
    <w:p>
      <w:pPr>
        <w:spacing w:after="0" w:line="36" w:lineRule="exact"/>
        <w:rPr>
          <w:rFonts w:ascii="Times New Roman" w:cs="Times New Roman" w:eastAsia="Times New Roman" w:hAnsi="Times New Roman"/>
          <w:sz w:val="18"/>
          <w:szCs w:val="18"/>
          <w:color w:val="auto"/>
        </w:rPr>
      </w:pPr>
    </w:p>
    <w:p>
      <w:pPr>
        <w:ind w:left="920" w:hanging="210"/>
        <w:spacing w:after="0"/>
        <w:tabs>
          <w:tab w:leader="none" w:pos="9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w:t>
      </w:r>
    </w:p>
    <w:p>
      <w:pPr>
        <w:spacing w:after="0" w:line="275"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Collections Allocable and Aggregate Amounts Available for the Current Payment Date:</w:t>
      </w:r>
    </w:p>
    <w:p>
      <w:pPr>
        <w:spacing w:after="0" w:line="267" w:lineRule="exact"/>
        <w:rPr>
          <w:rFonts w:ascii="Times New Roman" w:cs="Times New Roman" w:eastAsia="Times New Roman" w:hAnsi="Times New Roman"/>
          <w:sz w:val="17"/>
          <w:szCs w:val="17"/>
          <w:b w:val="1"/>
          <w:bCs w:val="1"/>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September 17 through September 30, 2025 Collection Period</w:t>
      </w:r>
    </w:p>
    <w:p>
      <w:pPr>
        <w:spacing w:after="0" w:line="27"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October 1 through October 31, 2025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November 1 through November 30, 2025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December 1 through December 31, 2025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January 1 through January 31,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February 1 through February 28,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March 1 through March 31,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April 1 through April 30,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May 1 through May 31,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Remittances for the June 1 through June 8, 2026 Collection Period</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Capital Subaccount</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Excess Funds Subaccount</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Earnings on General Subaccount</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Subaccount Balance (sum of i through xiii above)</w:t>
      </w:r>
    </w:p>
    <w:p>
      <w:pPr>
        <w:spacing w:after="0" w:line="9"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Subaccount Balance as of prior Payment Date</w:t>
      </w:r>
    </w:p>
    <w:p>
      <w:pPr>
        <w:spacing w:after="0" w:line="203" w:lineRule="exact"/>
        <w:rPr>
          <w:sz w:val="20"/>
          <w:szCs w:val="20"/>
          <w:color w:val="auto"/>
        </w:rPr>
      </w:pPr>
    </w:p>
    <w:p>
      <w:pPr>
        <w:ind w:left="920" w:hanging="912"/>
        <w:spacing w:after="0"/>
        <w:tabs>
          <w:tab w:leader="none" w:pos="9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Amounts as of prior Payment Date:</w:t>
      </w:r>
    </w:p>
    <w:p>
      <w:pPr>
        <w:spacing w:after="0" w:line="256" w:lineRule="exact"/>
        <w:rPr>
          <w:rFonts w:ascii="Times New Roman" w:cs="Times New Roman" w:eastAsia="Times New Roman" w:hAnsi="Times New Roman"/>
          <w:sz w:val="18"/>
          <w:szCs w:val="18"/>
          <w:b w:val="1"/>
          <w:bCs w:val="1"/>
          <w:color w:val="auto"/>
        </w:rPr>
      </w:pPr>
    </w:p>
    <w:p>
      <w:pPr>
        <w:ind w:left="920" w:hanging="683"/>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A-1 Outstanding Amount</w:t>
      </w:r>
    </w:p>
    <w:p>
      <w:pPr>
        <w:spacing w:after="0" w:line="27" w:lineRule="exact"/>
        <w:rPr>
          <w:rFonts w:ascii="Times New Roman" w:cs="Times New Roman" w:eastAsia="Times New Roman" w:hAnsi="Times New Roman"/>
          <w:sz w:val="18"/>
          <w:szCs w:val="18"/>
          <w:color w:val="auto"/>
        </w:rPr>
      </w:pPr>
    </w:p>
    <w:p>
      <w:pPr>
        <w:ind w:left="920" w:hanging="683"/>
        <w:spacing w:after="0"/>
        <w:tabs>
          <w:tab w:leader="none" w:pos="9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A-2 Outstanding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2,007,605.00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17145</wp:posOffset>
            </wp:positionV>
            <wp:extent cx="8483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2,007,605.00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14605</wp:posOffset>
            </wp:positionV>
            <wp:extent cx="848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31750</wp:posOffset>
            </wp:positionV>
            <wp:extent cx="8483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4,507,330.25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17145</wp:posOffset>
            </wp:positionV>
            <wp:extent cx="8483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4,507,330.25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wp:posOffset>
            </wp:positionH>
            <wp:positionV relativeFrom="paragraph">
              <wp:posOffset>14605</wp:posOffset>
            </wp:positionV>
            <wp:extent cx="8483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-129540</wp:posOffset>
            </wp:positionH>
            <wp:positionV relativeFrom="paragraph">
              <wp:posOffset>31750</wp:posOffset>
            </wp:positionV>
            <wp:extent cx="8483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425,595.26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4,225,530.19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5,789,671.85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4,098,482.78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4,326,910.55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4,843,048.56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4,715,510.60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4,636,123.87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1,220,471.28</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37,344.92</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246,256.44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34,564,946.30</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2,007,605.00</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240,913,000.00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160,608,000.00</w:t>
      </w:r>
    </w:p>
    <w:p>
      <w:pPr>
        <w:sectPr>
          <w:pgSz w:w="11900" w:h="16838" w:orient="portrait"/>
          <w:cols w:equalWidth="0" w:num="2">
            <w:col w:w="9280" w:space="720"/>
            <w:col w:w="1240"/>
          </w:cols>
          <w:pgMar w:left="320" w:top="121" w:right="339" w:bottom="1440" w:gutter="0" w:footer="0" w:header="0"/>
          <w:type w:val="continuous"/>
        </w:sectPr>
      </w:pPr>
    </w:p>
    <w:bookmarkStart w:id="6" w:name="page7"/>
    <w:bookmarkEnd w:id="6"/>
    <w:p>
      <w:pPr>
        <w:ind w:left="912" w:hanging="912"/>
        <w:spacing w:after="0"/>
        <w:tabs>
          <w:tab w:leader="none" w:pos="9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Required Funding/Payments as of Current Payment Date:</w:t>
      </w:r>
    </w:p>
    <w:p>
      <w:pPr>
        <w:spacing w:after="0" w:line="225" w:lineRule="exact"/>
        <w:rPr>
          <w:sz w:val="20"/>
          <w:szCs w:val="20"/>
          <w:color w:val="auto"/>
        </w:rPr>
      </w:pPr>
    </w:p>
    <w:tbl>
      <w:tblPr>
        <w:tblLayout w:type="fixed"/>
        <w:tblInd w:w="232" w:type="dxa"/>
        <w:tblCellMar>
          <w:top w:w="0" w:type="dxa"/>
          <w:left w:w="0" w:type="dxa"/>
          <w:bottom w:w="0" w:type="dxa"/>
          <w:right w:w="0" w:type="dxa"/>
        </w:tblCellMar>
      </w:tblPr>
      <w:tr>
        <w:trPr>
          <w:trHeight w:val="211"/>
        </w:trPr>
        <w:tc>
          <w:tcPr>
            <w:tcW w:w="440" w:type="dxa"/>
            <w:vAlign w:val="bottom"/>
          </w:tcPr>
          <w:p>
            <w:pPr>
              <w:spacing w:after="0"/>
              <w:rPr>
                <w:sz w:val="18"/>
                <w:szCs w:val="18"/>
                <w:color w:val="auto"/>
              </w:rPr>
            </w:pP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color w:val="auto"/>
                <w:w w:val="98"/>
              </w:rPr>
              <w:t>Principal Due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Bonds - Tranche A-1</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gridSpan w:val="3"/>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16,098,872.91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Bonds - Tranche A-2</w:t>
            </w: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7"/>
        </w:trPr>
        <w:tc>
          <w:tcPr>
            <w:tcW w:w="440" w:type="dxa"/>
            <w:vAlign w:val="bottom"/>
          </w:tcPr>
          <w:p>
            <w:pPr>
              <w:spacing w:after="0"/>
              <w:rPr>
                <w:sz w:val="24"/>
                <w:szCs w:val="24"/>
                <w:color w:val="auto"/>
              </w:rPr>
            </w:pPr>
          </w:p>
        </w:tc>
        <w:tc>
          <w:tcPr>
            <w:tcW w:w="3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Days in Interest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4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1440" w:type="dxa"/>
            <w:vAlign w:val="bottom"/>
            <w:vMerge w:val="restart"/>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rPr>
              <w:t>Interest Rate</w:t>
            </w:r>
          </w:p>
        </w:tc>
        <w:tc>
          <w:tcPr>
            <w:tcW w:w="10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Period</w:t>
            </w:r>
          </w:p>
        </w:tc>
        <w:tc>
          <w:tcPr>
            <w:tcW w:w="80" w:type="dxa"/>
            <w:vAlign w:val="bottom"/>
            <w:tcBorders>
              <w:bottom w:val="single" w:sz="8" w:color="auto"/>
            </w:tcBorders>
          </w:tcPr>
          <w:p>
            <w:pPr>
              <w:jc w:val="right"/>
              <w:spacing w:after="0" w:line="144" w:lineRule="exact"/>
              <w:rPr>
                <w:sz w:val="20"/>
                <w:szCs w:val="20"/>
                <w:color w:val="auto"/>
              </w:rPr>
            </w:pPr>
            <w:r>
              <w:rPr>
                <w:rFonts w:ascii="Times New Roman" w:cs="Times New Roman" w:eastAsia="Times New Roman" w:hAnsi="Times New Roman"/>
                <w:sz w:val="15"/>
                <w:szCs w:val="15"/>
                <w:color w:val="auto"/>
                <w:w w:val="79"/>
              </w:rPr>
              <w:t>2</w:t>
            </w:r>
          </w:p>
        </w:tc>
        <w:tc>
          <w:tcPr>
            <w:tcW w:w="500" w:type="dxa"/>
            <w:vAlign w:val="bottom"/>
            <w:vMerge w:val="restart"/>
          </w:tcPr>
          <w:p>
            <w:pPr>
              <w:spacing w:after="0"/>
              <w:rPr>
                <w:sz w:val="14"/>
                <w:szCs w:val="14"/>
                <w:color w:val="auto"/>
              </w:rPr>
            </w:pPr>
          </w:p>
        </w:tc>
        <w:tc>
          <w:tcPr>
            <w:tcW w:w="1640" w:type="dxa"/>
            <w:vAlign w:val="bottom"/>
            <w:gridSpan w:val="7"/>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8"/>
              </w:rPr>
              <w:t>Principal Balance</w:t>
            </w:r>
          </w:p>
        </w:tc>
        <w:tc>
          <w:tcPr>
            <w:tcW w:w="136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Interest Due</w:t>
            </w:r>
          </w:p>
        </w:tc>
        <w:tc>
          <w:tcPr>
            <w:tcW w:w="0" w:type="dxa"/>
            <w:vAlign w:val="bottom"/>
          </w:tcPr>
          <w:p>
            <w:pPr>
              <w:spacing w:after="0"/>
              <w:rPr>
                <w:sz w:val="1"/>
                <w:szCs w:val="1"/>
                <w:color w:val="auto"/>
              </w:rPr>
            </w:pPr>
          </w:p>
        </w:tc>
      </w:tr>
      <w:tr>
        <w:trPr>
          <w:trHeight w:val="48"/>
        </w:trPr>
        <w:tc>
          <w:tcPr>
            <w:tcW w:w="44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640" w:type="dxa"/>
            <w:vAlign w:val="bottom"/>
            <w:gridSpan w:val="7"/>
            <w:vMerge w:val="continue"/>
          </w:tcPr>
          <w:p>
            <w:pPr>
              <w:spacing w:after="0"/>
              <w:rPr>
                <w:sz w:val="4"/>
                <w:szCs w:val="4"/>
                <w:color w:val="auto"/>
              </w:rPr>
            </w:pPr>
          </w:p>
        </w:tc>
        <w:tc>
          <w:tcPr>
            <w:tcW w:w="13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Tranche A-1</w:t>
            </w:r>
          </w:p>
        </w:tc>
        <w:tc>
          <w:tcPr>
            <w:tcW w:w="144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4.2550%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Pr>
          <w:p>
            <w:pPr>
              <w:spacing w:after="0"/>
              <w:rPr>
                <w:sz w:val="18"/>
                <w:szCs w:val="18"/>
                <w:color w:val="auto"/>
              </w:rPr>
            </w:pPr>
          </w:p>
        </w:tc>
        <w:tc>
          <w:tcPr>
            <w:tcW w:w="152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240,913,000.00</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7,631,186.96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Tranche A-2</w:t>
            </w:r>
          </w:p>
        </w:tc>
        <w:tc>
          <w:tcPr>
            <w:tcW w:w="236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color w:val="auto"/>
                <w:w w:val="99"/>
              </w:rPr>
              <w:t>4.8260%</w:t>
            </w:r>
          </w:p>
        </w:tc>
        <w:tc>
          <w:tcPr>
            <w:tcW w:w="280" w:type="dxa"/>
            <w:vAlign w:val="bottom"/>
          </w:tcPr>
          <w:p>
            <w:pPr>
              <w:spacing w:after="0"/>
              <w:rPr>
                <w:sz w:val="21"/>
                <w:szCs w:val="21"/>
                <w:color w:val="auto"/>
              </w:rPr>
            </w:pP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color w:val="auto"/>
              </w:rPr>
              <w:t>160,608,000.00</w:t>
            </w: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5,770,145.77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13,401,332.73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color w:val="auto"/>
                <w:w w:val="99"/>
              </w:rPr>
              <w:t>Funding</w:t>
            </w:r>
          </w:p>
        </w:tc>
        <w:tc>
          <w:tcPr>
            <w:tcW w:w="0" w:type="dxa"/>
            <w:vAlign w:val="bottom"/>
          </w:tcPr>
          <w:p>
            <w:pPr>
              <w:spacing w:after="0"/>
              <w:rPr>
                <w:sz w:val="1"/>
                <w:szCs w:val="1"/>
                <w:color w:val="auto"/>
              </w:rPr>
            </w:pPr>
          </w:p>
        </w:tc>
      </w:tr>
      <w:tr>
        <w:trPr>
          <w:trHeight w:val="194"/>
        </w:trPr>
        <w:tc>
          <w:tcPr>
            <w:tcW w:w="440" w:type="dxa"/>
            <w:vAlign w:val="bottom"/>
          </w:tcPr>
          <w:p>
            <w:pPr>
              <w:spacing w:after="0"/>
              <w:rPr>
                <w:sz w:val="16"/>
                <w:szCs w:val="16"/>
                <w:color w:val="auto"/>
              </w:rPr>
            </w:pPr>
          </w:p>
        </w:tc>
        <w:tc>
          <w:tcPr>
            <w:tcW w:w="31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Capital Subaccount</w:t>
            </w:r>
          </w:p>
        </w:tc>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5"/>
          </w:tcPr>
          <w:p>
            <w:pPr>
              <w:jc w:val="center"/>
              <w:ind w:right="340"/>
              <w:spacing w:after="0" w:line="194" w:lineRule="exact"/>
              <w:rPr>
                <w:sz w:val="20"/>
                <w:szCs w:val="20"/>
                <w:color w:val="auto"/>
              </w:rPr>
            </w:pPr>
            <w:r>
              <w:rPr>
                <w:rFonts w:ascii="Times New Roman" w:cs="Times New Roman" w:eastAsia="Times New Roman" w:hAnsi="Times New Roman"/>
                <w:sz w:val="18"/>
                <w:szCs w:val="18"/>
                <w:color w:val="auto"/>
                <w:w w:val="98"/>
              </w:rPr>
              <w:t>Required Level</w:t>
            </w:r>
          </w:p>
        </w:tc>
        <w:tc>
          <w:tcPr>
            <w:tcW w:w="220" w:type="dxa"/>
            <w:vAlign w:val="bottom"/>
          </w:tcPr>
          <w:p>
            <w:pPr>
              <w:spacing w:after="0"/>
              <w:rPr>
                <w:sz w:val="16"/>
                <w:szCs w:val="16"/>
                <w:color w:val="auto"/>
              </w:rPr>
            </w:pPr>
          </w:p>
        </w:tc>
        <w:tc>
          <w:tcPr>
            <w:tcW w:w="1140" w:type="dxa"/>
            <w:vAlign w:val="bottom"/>
            <w:gridSpan w:val="5"/>
          </w:tcPr>
          <w:p>
            <w:pPr>
              <w:jc w:val="center"/>
              <w:ind w:right="240"/>
              <w:spacing w:after="0" w:line="194" w:lineRule="exact"/>
              <w:rPr>
                <w:sz w:val="20"/>
                <w:szCs w:val="20"/>
                <w:color w:val="auto"/>
              </w:rPr>
            </w:pPr>
            <w:r>
              <w:rPr>
                <w:rFonts w:ascii="Times New Roman" w:cs="Times New Roman" w:eastAsia="Times New Roman" w:hAnsi="Times New Roman"/>
                <w:sz w:val="18"/>
                <w:szCs w:val="18"/>
                <w:color w:val="auto"/>
                <w:w w:val="99"/>
              </w:rPr>
              <w:t>Required</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180" w:type="dxa"/>
            <w:vAlign w:val="bottom"/>
            <w:vMerge w:val="continu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4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2,007,605.00</w:t>
            </w:r>
          </w:p>
        </w:tc>
        <w:tc>
          <w:tcPr>
            <w:tcW w:w="13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912" w:hanging="116"/>
        <w:spacing w:after="0"/>
        <w:tabs>
          <w:tab w:leader="none" w:pos="912"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30/360 day basis for initial payment date; otherwise use one-half of annual rate.</w:t>
      </w:r>
    </w:p>
    <w:p>
      <w:pPr>
        <w:spacing w:after="0" w:line="194" w:lineRule="exact"/>
        <w:rPr>
          <w:sz w:val="20"/>
          <w:szCs w:val="20"/>
          <w:color w:val="auto"/>
        </w:rPr>
      </w:pPr>
    </w:p>
    <w:p>
      <w:pPr>
        <w:ind w:left="912" w:hanging="912"/>
        <w:spacing w:after="0"/>
        <w:tabs>
          <w:tab w:leader="none" w:pos="91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Allocation of Remittances as of Current Payment Date Pursuant to 8.02(e) of Indenture:</w:t>
      </w:r>
    </w:p>
    <w:p>
      <w:pPr>
        <w:spacing w:after="0" w:line="229"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Trustee Fees and Expenses; Indemnity Amounts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4,000.00</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Servicing Fee</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224,182.56</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680" w:type="dxa"/>
            <w:vAlign w:val="bottom"/>
          </w:tcPr>
          <w:p>
            <w:pPr>
              <w:ind w:left="240"/>
              <w:spacing w:after="0" w:line="252" w:lineRule="exact"/>
              <w:rPr>
                <w:sz w:val="20"/>
                <w:szCs w:val="20"/>
                <w:color w:val="auto"/>
              </w:rPr>
            </w:pPr>
            <w:r>
              <w:rPr>
                <w:rFonts w:ascii="Times New Roman" w:cs="Times New Roman" w:eastAsia="Times New Roman" w:hAnsi="Times New Roman"/>
                <w:sz w:val="18"/>
                <w:szCs w:val="18"/>
                <w:color w:val="auto"/>
              </w:rPr>
              <w:t>Administration Fee</w:t>
            </w:r>
            <w:r>
              <w:rPr>
                <w:rFonts w:ascii="Times New Roman" w:cs="Times New Roman" w:eastAsia="Times New Roman" w:hAnsi="Times New Roman"/>
                <w:sz w:val="29"/>
                <w:szCs w:val="29"/>
                <w:color w:val="auto"/>
                <w:vertAlign w:val="superscript"/>
              </w:rPr>
              <w:t>3</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77,944.44</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213,938.49</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44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 1,000</w:t>
            </w:r>
          </w:p>
        </w:tc>
      </w:tr>
      <w:tr>
        <w:trPr>
          <w:trHeight w:val="216"/>
        </w:trPr>
        <w:tc>
          <w:tcPr>
            <w:tcW w:w="4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Original</w:t>
            </w:r>
          </w:p>
        </w:tc>
      </w:tr>
      <w:tr>
        <w:trPr>
          <w:trHeight w:val="194"/>
        </w:trPr>
        <w:tc>
          <w:tcPr>
            <w:tcW w:w="440" w:type="dxa"/>
            <w:vAlign w:val="bottom"/>
          </w:tcPr>
          <w:p>
            <w:pPr>
              <w:spacing w:after="0"/>
              <w:rPr>
                <w:sz w:val="16"/>
                <w:szCs w:val="16"/>
                <w:color w:val="auto"/>
              </w:rPr>
            </w:pPr>
          </w:p>
        </w:tc>
        <w:tc>
          <w:tcPr>
            <w:tcW w:w="76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Bonds</w:t>
            </w:r>
          </w:p>
        </w:tc>
        <w:tc>
          <w:tcPr>
            <w:tcW w:w="7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Aggregate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color w:val="auto"/>
              </w:rPr>
              <w:t>Principal Amount</w:t>
            </w:r>
          </w:p>
        </w:tc>
      </w:tr>
    </w:tbl>
    <w:p>
      <w:pPr>
        <w:spacing w:after="0" w:line="9" w:lineRule="exact"/>
        <w:rPr>
          <w:sz w:val="20"/>
          <w:szCs w:val="20"/>
          <w:color w:val="auto"/>
        </w:rPr>
      </w:pPr>
    </w:p>
    <w:p>
      <w:pPr>
        <w:ind w:left="912" w:hanging="683"/>
        <w:spacing w:after="0"/>
        <w:tabs>
          <w:tab w:leader="none" w:pos="91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Interest (including any past-due for prior periods)</w:t>
      </w:r>
    </w:p>
    <w:p>
      <w:pPr>
        <w:spacing w:after="0" w:line="18" w:lineRule="exact"/>
        <w:rPr>
          <w:sz w:val="20"/>
          <w:szCs w:val="20"/>
          <w:color w:val="auto"/>
        </w:rPr>
      </w:pPr>
    </w:p>
    <w:tbl>
      <w:tblPr>
        <w:tblLayout w:type="fixed"/>
        <w:tblInd w:w="912"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1.</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Interest Payment</w:t>
            </w:r>
          </w:p>
        </w:tc>
        <w:tc>
          <w:tcPr>
            <w:tcW w:w="4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7,631,186.96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Interest Payment</w:t>
            </w:r>
          </w:p>
        </w:tc>
        <w:tc>
          <w:tcPr>
            <w:tcW w:w="418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5,770,145.77</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r>
    </w:tbl>
    <w:p>
      <w:pPr>
        <w:ind w:left="912" w:hanging="683"/>
        <w:spacing w:after="0"/>
        <w:tabs>
          <w:tab w:leader="none" w:pos="91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Due and Payable as a Result of an Event of Default or on Final Maturity Date</w:t>
      </w:r>
    </w:p>
    <w:tbl>
      <w:tblPr>
        <w:tblLayout w:type="fixed"/>
        <w:tblInd w:w="912"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1.</w:t>
            </w: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Interest Payment</w:t>
            </w:r>
          </w:p>
        </w:tc>
        <w:tc>
          <w:tcPr>
            <w:tcW w:w="3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2.</w:t>
            </w: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Interest Payment</w:t>
            </w:r>
          </w:p>
        </w:tc>
        <w:tc>
          <w:tcPr>
            <w:tcW w:w="3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ind w:left="912" w:hanging="683"/>
        <w:spacing w:after="0"/>
        <w:tabs>
          <w:tab w:leader="none" w:pos="91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Semi-Annual Principal</w:t>
      </w:r>
    </w:p>
    <w:tbl>
      <w:tblPr>
        <w:tblLayout w:type="fixed"/>
        <w:tblInd w:w="232"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A-1 Principal Payment</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16,098,872.91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w:t>
            </w:r>
          </w:p>
        </w:tc>
      </w:tr>
      <w:tr>
        <w:trPr>
          <w:trHeight w:val="234"/>
        </w:trPr>
        <w:tc>
          <w:tcPr>
            <w:tcW w:w="480" w:type="dxa"/>
            <w:vAlign w:val="bottom"/>
          </w:tcPr>
          <w:p>
            <w:pPr>
              <w:spacing w:after="0"/>
              <w:rPr>
                <w:sz w:val="20"/>
                <w:szCs w:val="20"/>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5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Tranche A-2 Principal Payment</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viii.</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Unpaid Operating Expenses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4"/>
                <w:szCs w:val="24"/>
                <w:color w:val="auto"/>
              </w:rPr>
            </w:pPr>
          </w:p>
        </w:tc>
      </w:tr>
      <w:tr>
        <w:trPr>
          <w:trHeight w:val="220"/>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Funding of Capital Subaccount (to required level)</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r>
      <w:tr>
        <w:trPr>
          <w:trHeight w:val="25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5960" w:type="dxa"/>
            <w:vAlign w:val="bottom"/>
            <w:gridSpan w:val="2"/>
          </w:tcPr>
          <w:p>
            <w:pPr>
              <w:ind w:left="200"/>
              <w:spacing w:after="0" w:line="252" w:lineRule="exact"/>
              <w:rPr>
                <w:sz w:val="20"/>
                <w:szCs w:val="20"/>
                <w:color w:val="auto"/>
              </w:rPr>
            </w:pPr>
            <w:r>
              <w:rPr>
                <w:rFonts w:ascii="Times New Roman" w:cs="Times New Roman" w:eastAsia="Times New Roman" w:hAnsi="Times New Roman"/>
                <w:sz w:val="18"/>
                <w:szCs w:val="18"/>
                <w:color w:val="auto"/>
              </w:rPr>
              <w:t xml:space="preserve">Capital Subaccount Return to CEHE </w:t>
            </w:r>
            <w:r>
              <w:rPr>
                <w:rFonts w:ascii="Times New Roman" w:cs="Times New Roman" w:eastAsia="Times New Roman" w:hAnsi="Times New Roman"/>
                <w:sz w:val="29"/>
                <w:szCs w:val="29"/>
                <w:color w:val="auto"/>
                <w:vertAlign w:val="superscript"/>
              </w:rPr>
              <w:t>4</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37,344.92</w:t>
            </w:r>
          </w:p>
        </w:tc>
        <w:tc>
          <w:tcPr>
            <w:tcW w:w="1040" w:type="dxa"/>
            <w:vAlign w:val="bottom"/>
          </w:tcPr>
          <w:p>
            <w:pPr>
              <w:spacing w:after="0"/>
              <w:rPr>
                <w:sz w:val="21"/>
                <w:szCs w:val="21"/>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Deposit to Excess Funds Subaccount</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4,507,330.25</w:t>
            </w:r>
          </w:p>
        </w:tc>
        <w:tc>
          <w:tcPr>
            <w:tcW w:w="1040" w:type="dxa"/>
            <w:vAlign w:val="bottom"/>
          </w:tcPr>
          <w:p>
            <w:pPr>
              <w:spacing w:after="0"/>
              <w:rPr>
                <w:sz w:val="18"/>
                <w:szCs w:val="18"/>
                <w:color w:val="auto"/>
              </w:rPr>
            </w:pPr>
          </w:p>
        </w:tc>
      </w:t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xii.</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Released to Issuer upon Retirement of all Bonds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xiii.</w:t>
            </w:r>
          </w:p>
        </w:tc>
        <w:tc>
          <w:tcPr>
            <w:tcW w:w="5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Aggregate Remittances as of the Current Payment Date</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34,564,946.30</w:t>
            </w:r>
          </w:p>
        </w:tc>
        <w:tc>
          <w:tcPr>
            <w:tcW w:w="1040" w:type="dxa"/>
            <w:vAlign w:val="bottom"/>
          </w:tcPr>
          <w:p>
            <w:pPr>
              <w:spacing w:after="0"/>
              <w:rPr>
                <w:sz w:val="20"/>
                <w:szCs w:val="20"/>
                <w:color w:val="auto"/>
              </w:rPr>
            </w:pPr>
          </w:p>
        </w:tc>
      </w:tr>
    </w:tbl>
    <w:p>
      <w:pPr>
        <w:spacing w:after="0" w:line="198" w:lineRule="exact"/>
        <w:rPr>
          <w:sz w:val="20"/>
          <w:szCs w:val="20"/>
          <w:color w:val="auto"/>
        </w:rPr>
      </w:pPr>
    </w:p>
    <w:p>
      <w:pPr>
        <w:ind w:left="912" w:right="20" w:hanging="116"/>
        <w:spacing w:after="0" w:line="195" w:lineRule="auto"/>
        <w:tabs>
          <w:tab w:leader="none" w:pos="912" w:val="left"/>
        </w:tabs>
        <w:numPr>
          <w:ilvl w:val="0"/>
          <w:numId w:val="2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Administration fee includes 9/17/2025 - 6/15/2026 based on 360-day year in which servicer performed duties: $100,000 x 268/360 = $74,444.44 + $3,500 (reimbursement of Global Securization Invoice)= $77,944.44</w:t>
      </w:r>
    </w:p>
    <w:p>
      <w:pPr>
        <w:spacing w:after="0" w:line="89" w:lineRule="exact"/>
        <w:rPr>
          <w:sz w:val="20"/>
          <w:szCs w:val="20"/>
          <w:color w:val="auto"/>
        </w:rPr>
      </w:pPr>
    </w:p>
    <w:p>
      <w:pPr>
        <w:ind w:left="912" w:hanging="116"/>
        <w:spacing w:after="0"/>
        <w:tabs>
          <w:tab w:leader="none" w:pos="912"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Capital subaccount return includes 9/17/2025 - 6/15/2026 based on 360-day year for CEHE invested capital: $37,344.92</w:t>
      </w:r>
    </w:p>
    <w:p>
      <w:pPr>
        <w:spacing w:after="0" w:line="194" w:lineRule="exact"/>
        <w:rPr>
          <w:sz w:val="20"/>
          <w:szCs w:val="20"/>
          <w:color w:val="auto"/>
        </w:rPr>
      </w:pPr>
    </w:p>
    <w:p>
      <w:pPr>
        <w:ind w:left="912" w:hanging="912"/>
        <w:spacing w:after="0" w:line="286" w:lineRule="auto"/>
        <w:tabs>
          <w:tab w:leader="none" w:pos="91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Outstanding Amount and Collection Account Balance as of the Current Payment Date (after giving effect to payments to be made on such Payment Date):</w:t>
      </w:r>
    </w:p>
    <w:p>
      <w:pPr>
        <w:spacing w:after="0" w:line="159"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Bonds – Tranche A-1</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224,814,127.09</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Bonds – Tranche A-2</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160,608,000.00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Funds Subaccount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4,507,330.25</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Subaccount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2,007,605.00</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v.</w:t>
            </w:r>
          </w:p>
        </w:tc>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Aggregate Collection Account Balance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6,514,935.25</w:t>
            </w:r>
          </w:p>
        </w:tc>
      </w:tr>
    </w:tbl>
    <w:p>
      <w:pPr>
        <w:spacing w:after="0" w:line="221" w:lineRule="exact"/>
        <w:rPr>
          <w:sz w:val="20"/>
          <w:szCs w:val="20"/>
          <w:color w:val="auto"/>
        </w:rPr>
      </w:pPr>
    </w:p>
    <w:p>
      <w:pPr>
        <w:ind w:left="912" w:hanging="912"/>
        <w:spacing w:after="0"/>
        <w:tabs>
          <w:tab w:leader="none" w:pos="91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Subaccount Withdrawals as of the Current Payment Date (if applicable, pursuant to Section 8.02(e) of Indenture):</w:t>
      </w:r>
    </w:p>
    <w:p>
      <w:pPr>
        <w:spacing w:after="0" w:line="256"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Excess Funds Subaccount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Subaccount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Withdrawals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912" w:hanging="912"/>
        <w:spacing w:after="0"/>
        <w:tabs>
          <w:tab w:leader="none" w:pos="91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Interest and Principal Payments as of Current Payment Date:</w:t>
      </w:r>
    </w:p>
    <w:p>
      <w:pPr>
        <w:spacing w:after="0" w:line="229" w:lineRule="exact"/>
        <w:rPr>
          <w:sz w:val="20"/>
          <w:szCs w:val="20"/>
          <w:color w:val="auto"/>
        </w:rPr>
      </w:pPr>
    </w:p>
    <w:tbl>
      <w:tblPr>
        <w:tblLayout w:type="fixed"/>
        <w:tblInd w:w="232"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Semi-annual Interest</w:t>
            </w:r>
          </w:p>
        </w:tc>
        <w:tc>
          <w:tcPr>
            <w:tcW w:w="14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Bonds – Tranche A-1 Interest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Pr>
          <w:p>
            <w:pPr>
              <w:spacing w:after="0"/>
              <w:rPr>
                <w:sz w:val="20"/>
                <w:szCs w:val="20"/>
                <w:color w:val="auto"/>
              </w:rPr>
            </w:pP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Bonds – Tranche A-2 Interest Payment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0" w:type="dxa"/>
            <w:vAlign w:val="bottom"/>
          </w:tcPr>
          <w:p>
            <w:pPr>
              <w:spacing w:after="0"/>
              <w:rPr>
                <w:sz w:val="18"/>
                <w:szCs w:val="18"/>
                <w:color w:val="auto"/>
              </w:rPr>
            </w:pPr>
          </w:p>
        </w:tc>
        <w:tc>
          <w:tcPr>
            <w:tcW w:w="7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Bonds Interest Payments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32"/>
          </w:cols>
          <w:pgMar w:left="328" w:top="900" w:right="339" w:bottom="0" w:gutter="0" w:footer="0" w:header="0"/>
        </w:sectPr>
      </w:pPr>
    </w:p>
    <w:bookmarkStart w:id="7" w:name="page8"/>
    <w:bookmarkEnd w:id="7"/>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Semiannual Principal</w:t>
            </w:r>
          </w:p>
        </w:tc>
        <w:tc>
          <w:tcPr>
            <w:tcW w:w="14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Bonds – Tranche A-1 Principal Payment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0" w:type="dxa"/>
            <w:vAlign w:val="bottom"/>
          </w:tcPr>
          <w:p>
            <w:pPr>
              <w:spacing w:after="0"/>
              <w:rPr>
                <w:sz w:val="20"/>
                <w:szCs w:val="20"/>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Bonds – Tranche A-2 Principal Payment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0" w:type="dxa"/>
            <w:vAlign w:val="bottom"/>
          </w:tcPr>
          <w:p>
            <w:pPr>
              <w:spacing w:after="0"/>
              <w:rPr>
                <w:sz w:val="18"/>
                <w:szCs w:val="18"/>
                <w:color w:val="auto"/>
              </w:rPr>
            </w:pPr>
          </w:p>
        </w:tc>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Bonds Principal Payments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920" w:hanging="912"/>
        <w:spacing w:after="0"/>
        <w:tabs>
          <w:tab w:leader="none" w:pos="9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Payment of Return on Invested Capital as of the Current Payment Date:</w:t>
      </w:r>
    </w:p>
    <w:p>
      <w:pPr>
        <w:spacing w:after="0" w:line="229" w:lineRule="exact"/>
        <w:rPr>
          <w:sz w:val="20"/>
          <w:szCs w:val="20"/>
          <w:color w:val="auto"/>
        </w:rPr>
      </w:pPr>
    </w:p>
    <w:p>
      <w:pPr>
        <w:ind w:left="240"/>
        <w:spacing w:after="0"/>
        <w:tabs>
          <w:tab w:leader="none" w:pos="900" w:val="left"/>
          <w:tab w:leader="none" w:pos="94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Return on Invested Capital</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920" w:hanging="912"/>
        <w:spacing w:after="0"/>
        <w:tabs>
          <w:tab w:leader="none" w:pos="9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Shortfalls in Required Subaccount Levels as of the Current Payment Date:</w:t>
      </w:r>
    </w:p>
    <w:p>
      <w:pPr>
        <w:spacing w:after="0" w:line="229" w:lineRule="exact"/>
        <w:rPr>
          <w:sz w:val="20"/>
          <w:szCs w:val="20"/>
          <w:color w:val="auto"/>
        </w:rPr>
      </w:pPr>
    </w:p>
    <w:p>
      <w:pPr>
        <w:ind w:left="240"/>
        <w:spacing w:after="0"/>
        <w:tabs>
          <w:tab w:leader="none" w:pos="900" w:val="left"/>
          <w:tab w:leader="none" w:pos="940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Capital Subaccount</w:t>
      </w:r>
      <w:r>
        <w:rPr>
          <w:sz w:val="20"/>
          <w:szCs w:val="20"/>
          <w:color w:val="auto"/>
        </w:rPr>
        <w:tab/>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the undersigned has duly executed and delivered this Semi-Annual Servicer's Certificate this 8th day of June,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CENTERPOINT ENERGY HOUSTON ELECTRIC, LLC, as Servicer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Kaydra Kirtz</w:t>
            </w:r>
          </w:p>
        </w:tc>
        <w:tc>
          <w:tcPr>
            <w:tcW w:w="5620" w:type="dxa"/>
            <w:vAlign w:val="bottom"/>
          </w:tcPr>
          <w:p>
            <w:pPr>
              <w:spacing w:after="0"/>
              <w:rPr>
                <w:sz w:val="20"/>
                <w:szCs w:val="20"/>
                <w:color w:val="auto"/>
              </w:rPr>
            </w:pP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Kaydra Kirtz</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Assistant Treasurer</w:t>
            </w:r>
          </w:p>
        </w:tc>
        <w:tc>
          <w:tcPr>
            <w:tcW w:w="5620" w:type="dxa"/>
            <w:vAlign w:val="bottom"/>
          </w:tcPr>
          <w:p>
            <w:pPr>
              <w:spacing w:after="0"/>
              <w:rPr>
                <w:sz w:val="20"/>
                <w:szCs w:val="20"/>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lowerLetter"/>
      <w:start w:val="2"/>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1)"/>
      <w:numFmt w:val="lowerLetter"/>
      <w:start w:val="1"/>
    </w:lvl>
  </w:abstractNum>
  <w:abstractNum w:abstractNumId="3">
    <w:nsid w:val="4E6AFB66"/>
    <w:multiLevelType w:val="hybridMultilevel"/>
    <w:lvl w:ilvl="0">
      <w:lvlJc w:val="left"/>
      <w:lvlText w:val="%1)"/>
      <w:numFmt w:val="lowerLetter"/>
      <w:start w:val="2"/>
    </w:lvl>
  </w:abstractNum>
  <w:abstractNum w:abstractNumId="4">
    <w:nsid w:val="25E45D32"/>
    <w:multiLevelType w:val="hybridMultilevel"/>
    <w:lvl w:ilvl="0">
      <w:lvlJc w:val="left"/>
      <w:lvlText w:val="3"/>
      <w:numFmt w:val="bullet"/>
      <w:start w:val="1"/>
    </w:lvl>
  </w:abstractNum>
  <w:abstractNum w:abstractNumId="5">
    <w:nsid w:val="519B500D"/>
    <w:multiLevelType w:val="hybridMultilevel"/>
    <w:lvl w:ilvl="0">
      <w:lvlJc w:val="left"/>
      <w:lvlText w:val="%1)"/>
      <w:numFmt w:val="lowerLetter"/>
      <w:start w:val="1"/>
    </w:lvl>
  </w:abstractNum>
  <w:abstractNum w:abstractNumId="6">
    <w:nsid w:val="431BD7B7"/>
    <w:multiLevelType w:val="hybridMultilevel"/>
    <w:lvl w:ilvl="0">
      <w:lvlJc w:val="left"/>
      <w:lvlText w:val="%1)"/>
      <w:numFmt w:val="lowerLetter"/>
      <w:start w:val="2"/>
    </w:lvl>
  </w:abstractNum>
  <w:abstractNum w:abstractNumId="7">
    <w:nsid w:val="3F2DBA31"/>
    <w:multiLevelType w:val="hybridMultilevel"/>
    <w:lvl w:ilvl="0">
      <w:lvlJc w:val="left"/>
      <w:lvlText w:val="%1)"/>
      <w:numFmt w:val="lowerLetter"/>
      <w:start w:val="3"/>
    </w:lvl>
  </w:abstractNum>
  <w:abstractNum w:abstractNumId="8">
    <w:nsid w:val="7C83E458"/>
    <w:multiLevelType w:val="hybridMultilevel"/>
    <w:lvl w:ilvl="0">
      <w:lvlJc w:val="left"/>
      <w:lvlText w:val="4"/>
      <w:numFmt w:val="bullet"/>
      <w:start w:val="1"/>
    </w:lvl>
  </w:abstractNum>
  <w:abstractNum w:abstractNumId="9">
    <w:nsid w:val="257130A3"/>
    <w:multiLevelType w:val="hybridMultilevel"/>
    <w:lvl w:ilvl="0">
      <w:lvlJc w:val="left"/>
      <w:lvlText w:val="%1)"/>
      <w:numFmt w:val="lowerLetter"/>
      <w:start w:val="1"/>
    </w:lvl>
  </w:abstractNum>
  <w:abstractNum w:abstractNumId="10">
    <w:nsid w:val="62BBD95A"/>
    <w:multiLevelType w:val="hybridMultilevel"/>
    <w:lvl w:ilvl="0">
      <w:lvlJc w:val="left"/>
      <w:lvlText w:val="%1)"/>
      <w:numFmt w:val="lowerLetter"/>
      <w:start w:val="2"/>
    </w:lvl>
  </w:abstractNum>
  <w:abstractNum w:abstractNumId="11">
    <w:nsid w:val="436C6125"/>
    <w:multiLevelType w:val="hybridMultilevel"/>
    <w:lvl w:ilvl="0">
      <w:lvlJc w:val="left"/>
      <w:lvlText w:val="%1."/>
      <w:numFmt w:val="lowerRoman"/>
      <w:start w:val="3"/>
    </w:lvl>
  </w:abstractNum>
  <w:abstractNum w:abstractNumId="12">
    <w:nsid w:val="628C895D"/>
    <w:multiLevelType w:val="hybridMultilevel"/>
    <w:lvl w:ilvl="0">
      <w:lvlJc w:val="left"/>
      <w:lvlText w:val="1"/>
      <w:numFmt w:val="bullet"/>
      <w:start w:val="1"/>
    </w:lvl>
  </w:abstractNum>
  <w:abstractNum w:abstractNumId="13">
    <w:nsid w:val="333AB105"/>
    <w:multiLevelType w:val="hybridMultilevel"/>
    <w:lvl w:ilvl="0">
      <w:lvlJc w:val="left"/>
      <w:lvlText w:val="%1)"/>
      <w:numFmt w:val="lowerLetter"/>
      <w:start w:val="1"/>
    </w:lvl>
    <w:lvl w:ilvl="1">
      <w:lvlJc w:val="left"/>
      <w:lvlText w:val="%2."/>
      <w:numFmt w:val="lowerRoman"/>
      <w:start w:val="1"/>
    </w:lvl>
  </w:abstractNum>
  <w:abstractNum w:abstractNumId="14">
    <w:nsid w:val="721DA317"/>
    <w:multiLevelType w:val="hybridMultilevel"/>
    <w:lvl w:ilvl="0">
      <w:lvlJc w:val="left"/>
      <w:lvlText w:val="1"/>
      <w:numFmt w:val="bullet"/>
      <w:start w:val="1"/>
    </w:lvl>
    <w:lvl w:ilvl="1">
      <w:lvlJc w:val="left"/>
      <w:lvlText w:val="%2."/>
      <w:numFmt w:val="lowerRoman"/>
      <w:start w:val="1"/>
    </w:lvl>
  </w:abstractNum>
  <w:abstractNum w:abstractNumId="15">
    <w:nsid w:val="2443A858"/>
    <w:multiLevelType w:val="hybridMultilevel"/>
    <w:lvl w:ilvl="0">
      <w:lvlJc w:val="left"/>
      <w:lvlText w:val="2"/>
      <w:numFmt w:val="bullet"/>
      <w:start w:val="1"/>
    </w:lvl>
    <w:lvl w:ilvl="1">
      <w:lvlJc w:val="left"/>
      <w:lvlText w:val="%2."/>
      <w:numFmt w:val="lowerRoman"/>
      <w:start w:val="1"/>
    </w:lvl>
  </w:abstractNum>
  <w:abstractNum w:abstractNumId="16">
    <w:nsid w:val="2D1D5AE9"/>
    <w:multiLevelType w:val="hybridMultilevel"/>
    <w:lvl w:ilvl="0">
      <w:lvlJc w:val="left"/>
      <w:lvlText w:val="3"/>
      <w:numFmt w:val="bullet"/>
      <w:start w:val="1"/>
    </w:lvl>
  </w:abstractNum>
  <w:abstractNum w:abstractNumId="17">
    <w:nsid w:val="6763845E"/>
    <w:multiLevelType w:val="hybridMultilevel"/>
    <w:lvl w:ilvl="0">
      <w:lvlJc w:val="left"/>
      <w:lvlText w:val="2"/>
      <w:numFmt w:val="bullet"/>
      <w:start w:val="1"/>
    </w:lvl>
  </w:abstractNum>
  <w:abstractNum w:abstractNumId="18">
    <w:nsid w:val="75A2A8D4"/>
    <w:multiLevelType w:val="hybridMultilevel"/>
    <w:lvl w:ilvl="0">
      <w:lvlJc w:val="left"/>
      <w:lvlText w:val="4"/>
      <w:numFmt w:val="bullet"/>
      <w:start w:val="1"/>
    </w:lvl>
  </w:abstractNum>
  <w:abstractNum w:abstractNumId="19">
    <w:nsid w:val="8EDBDAB"/>
    <w:multiLevelType w:val="hybridMultilevel"/>
    <w:lvl w:ilvl="0">
      <w:lvlJc w:val="left"/>
      <w:lvlText w:val="%1."/>
      <w:numFmt w:val="lowerRoman"/>
      <w:start w:val="5"/>
    </w:lvl>
  </w:abstractNum>
  <w:abstractNum w:abstractNumId="20">
    <w:nsid w:val="79838CB2"/>
    <w:multiLevelType w:val="hybridMultilevel"/>
    <w:lvl w:ilvl="0">
      <w:lvlJc w:val="left"/>
      <w:lvlText w:val="%1."/>
      <w:numFmt w:val="lowerRoman"/>
      <w:start w:val="6"/>
    </w:lvl>
  </w:abstractNum>
  <w:abstractNum w:abstractNumId="21">
    <w:nsid w:val="4353D0CD"/>
    <w:multiLevelType w:val="hybridMultilevel"/>
    <w:lvl w:ilvl="0">
      <w:lvlJc w:val="left"/>
      <w:lvlText w:val="%1."/>
      <w:numFmt w:val="lowerRoman"/>
      <w:start w:val="7"/>
    </w:lvl>
  </w:abstractNum>
  <w:abstractNum w:abstractNumId="22">
    <w:nsid w:val="B03E0C6"/>
    <w:multiLevelType w:val="hybridMultilevel"/>
    <w:lvl w:ilvl="0">
      <w:lvlJc w:val="left"/>
      <w:lvlText w:val="3"/>
      <w:numFmt w:val="bullet"/>
      <w:start w:val="1"/>
    </w:lvl>
  </w:abstractNum>
  <w:abstractNum w:abstractNumId="23">
    <w:nsid w:val="189A769B"/>
    <w:multiLevelType w:val="hybridMultilevel"/>
    <w:lvl w:ilvl="0">
      <w:lvlJc w:val="left"/>
      <w:lvlText w:val="4"/>
      <w:numFmt w:val="bullet"/>
      <w:start w:val="1"/>
    </w:lvl>
  </w:abstractNum>
  <w:abstractNum w:abstractNumId="24">
    <w:nsid w:val="54E49EB4"/>
    <w:multiLevelType w:val="hybridMultilevel"/>
    <w:lvl w:ilvl="0">
      <w:lvlJc w:val="left"/>
      <w:lvlText w:val="5"/>
      <w:numFmt w:val="bullet"/>
      <w:start w:val="1"/>
    </w:lvl>
  </w:abstractNum>
  <w:abstractNum w:abstractNumId="25">
    <w:nsid w:val="71F32454"/>
    <w:multiLevelType w:val="hybridMultilevel"/>
    <w:lvl w:ilvl="0">
      <w:lvlJc w:val="left"/>
      <w:lvlText w:val="6"/>
      <w:numFmt w:val="bullet"/>
      <w:start w:val="1"/>
    </w:lvl>
  </w:abstractNum>
  <w:abstractNum w:abstractNumId="26">
    <w:nsid w:val="2CA88611"/>
    <w:multiLevelType w:val="hybridMultilevel"/>
    <w:lvl w:ilvl="0">
      <w:lvlJc w:val="left"/>
      <w:lvlText w:val="7"/>
      <w:numFmt w:val="bullet"/>
      <w:start w:val="1"/>
    </w:lvl>
  </w:abstractNum>
  <w:abstractNum w:abstractNumId="27">
    <w:nsid w:val="836C40E"/>
    <w:multiLevelType w:val="hybridMultilevel"/>
    <w:lvl w:ilvl="0">
      <w:lvlJc w:val="left"/>
      <w:lvlText w:val="8"/>
      <w:numFmt w:val="bullet"/>
      <w:start w:val="1"/>
    </w:lvl>
  </w:abstractNum>
  <w:abstractNum w:abstractNumId="28">
    <w:nsid w:val="2901D82"/>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16" Type="http://schemas.openxmlformats.org/officeDocument/2006/relationships/hyperlink" Target="https://www.sec.gov/Archives/edgar/data/48732/000110465925061199/tm2517786d2_ex3-1.htm" TargetMode="External"/><Relationship Id="rId17" Type="http://schemas.openxmlformats.org/officeDocument/2006/relationships/hyperlink" Target="https://www.sec.gov/Archives/edgar/data/48732/000110465925090869/tm2517786d14_ex3-1.htm" TargetMode="External"/><Relationship Id="rId18" Type="http://schemas.openxmlformats.org/officeDocument/2006/relationships/hyperlink" Target="https://www.sec.gov/Archives/edgar/data/48732/000110465925090869/tm2517786d14_ex4-1.htm" TargetMode="External"/><Relationship Id="rId19" Type="http://schemas.openxmlformats.org/officeDocument/2006/relationships/hyperlink" Target="https://www.sec.gov/Archives/edgar/data/48732/000110465925090869/tm2517786d14_ex4-2.htm" TargetMode="External"/><Relationship Id="rId20" Type="http://schemas.openxmlformats.org/officeDocument/2006/relationships/hyperlink" Target="https://www.sec.gov/Archives/edgar/data/48732/000110465925090869/tm2517786d14_ex10-1.htm" TargetMode="External"/><Relationship Id="rId21" Type="http://schemas.openxmlformats.org/officeDocument/2006/relationships/hyperlink" Target="https://www.sec.gov/Archives/edgar/data/48732/000110465925090869/tm2517786d14_ex10-2.htm" TargetMode="External"/><Relationship Id="rId22" Type="http://schemas.openxmlformats.org/officeDocument/2006/relationships/hyperlink" Target="https://www.sec.gov/Archives/edgar/data/48732/000110465925090869/tm2517786d14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2026-06-15T15:10:10Z</dcterms:created>
  <dcterms:modified xsi:type="dcterms:W3CDTF">2026-06-15T15:10:10Z</dcterms:modified>
</cp:coreProperties>
</file>