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5115362.xml.htm"/>
      <w:bookmarkStart w:id="1" w:name="kswkform4_17551153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Soto Jesus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LOUISIANA</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CENTERPOINT ENERGY INC</w:t>
              </w:r>
            </w:hyperlink>
            <w:r>
              <w:rPr/>
              <w:t xml:space="preserve"> [ </w:t>
            </w:r>
            <w:r>
              <w:rPr>
                <w:rFonts w:ascii="Times;serif" w:hAnsi="Times;serif"/>
                <w:color w:val="0000FF"/>
                <w:sz w:val="24"/>
                <w:shd w:fill="FFFFFF" w:val="clear"/>
              </w:rPr>
              <w:t>CNP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14,662</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14,662</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155,561</w:t>
            </w:r>
            <w:r>
              <w:rPr>
                <w:rFonts w:ascii="Times;serif" w:hAnsi="Times;serif"/>
                <w:color w:val="008000"/>
                <w:position w:val="7"/>
                <w:sz w:val="16"/>
                <w:sz w:val="20"/>
                <w:shd w:fill="FFFFFF" w:val="clear"/>
              </w:rPr>
              <w:t>(2)</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170,223</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Time-based restricted stock units ("RSUs") awarded under the Issuer's Long-Term Incentive Plan (the "Plan") and vesting (i) in three equal installments in August 2026, 2027, and 2028 if the Reporting Person ("R.P.") continues to be an employee of Issuer from the grant date through the respective vesting date; (ii) in the event of his earlier disability or death; or (iii) if he satisfies various conditions, upon his earlier retirement, except that such retirement vesting will be on a pro rata basis if his retirement occurs in the year of grant. All vesting is conditioned upon achievement of positive operating income for the year preceding the applicable vesting date except in the case of death or disability.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Time-based RSUs awarded under the Plan with 38,891 RSUs vesting on the first anniversary of the R.P.'s employment start date, August 11, 2025 (the "start date") and 38,890 RSUs vesting on each of the second, third, and fourth anniversaries of the start date if the R.P. continues to be an employee of Issuer from the start date through the respective vesting date. The award will also vest in the event of R.P.'s earlier disability, death or involuntary termination of employment by Issuer without cause.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Vincent A. Mercaldi,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1260" TargetMode="External"/><Relationship Id="rId5" Type="http://schemas.openxmlformats.org/officeDocument/2006/relationships/hyperlink" Target="http://www.sec.gov/cgi-bin/browse-edgar?action=getcompany&amp;CIK=00011303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770</Words>
  <Characters>4110</Characters>
  <CharactersWithSpaces>4813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