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326d1_8k.htm"/>
      <w:bookmarkStart w:id="1" w:name="kstm2625326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0914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 xml:space="preserve">September 14, 2026 </w:t>
      </w:r>
    </w:p>
    <w:p>
      <w:pPr>
        <w:pStyle w:val="TextBody"/>
        <w:bidi w:val="0"/>
        <w:spacing w:before="0" w:after="0"/>
        <w:ind w:left="0" w:right="0" w:hanging="0"/>
        <w:jc w:val="center"/>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2105"/>
        <w:gridCol w:w="5045"/>
        <w:gridCol w:w="1505"/>
      </w:tblGrid>
      <w:tr>
        <w:trPr/>
        <w:tc>
          <w:tcPr>
            <w:tcW w:w="210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center"/>
              <w:rPr>
                <w:b/>
              </w:rPr>
            </w:pPr>
            <w:r>
              <w:rPr>
                <w:b/>
              </w:rPr>
              <w:t>Registrant, State or Other Jurisdiction</w:t>
              <w:br/>
              <w:t>of Incorporation or Organization</w:t>
            </w:r>
          </w:p>
        </w:tc>
        <w:tc>
          <w:tcPr>
            <w:tcW w:w="1505" w:type="dxa"/>
            <w:tcBorders/>
            <w:vAlign w:val="center"/>
          </w:tcPr>
          <w:p>
            <w:pPr>
              <w:pStyle w:val="TableContents"/>
              <w:bidi w:val="0"/>
              <w:spacing w:before="0" w:after="283"/>
              <w:jc w:val="left"/>
              <w:rPr/>
            </w:pPr>
            <w:r>
              <w:rPr/>
              <w:t> </w:t>
            </w:r>
          </w:p>
        </w:tc>
      </w:tr>
      <w:tr>
        <w:trPr/>
        <w:tc>
          <w:tcPr>
            <w:tcW w:w="21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Commission file number</w:t>
            </w:r>
          </w:p>
        </w:tc>
        <w:tc>
          <w:tcPr>
            <w:tcW w:w="5045" w:type="dxa"/>
            <w:tcBorders>
              <w:bottom w:val="single" w:sz="8" w:space="0" w:color="000000"/>
            </w:tcBorders>
            <w:tcMar>
              <w:bottom w:w="28" w:type="dxa"/>
            </w:tcMar>
            <w:vAlign w:val="center"/>
          </w:tcPr>
          <w:p>
            <w:pPr>
              <w:pStyle w:val="TableContents"/>
              <w:bidi w:val="0"/>
              <w:spacing w:before="0" w:after="283"/>
              <w:jc w:val="center"/>
              <w:rPr/>
            </w:pPr>
            <w:r>
              <w:rPr>
                <w:b/>
              </w:rPr>
              <w:t>Address of Principal Executive Offices, Zip Code</w:t>
            </w:r>
            <w:r>
              <w:rPr/>
              <w:t xml:space="preserve"> </w:t>
            </w:r>
            <w:r>
              <w:rPr>
                <w:b/>
              </w:rPr>
              <w:br/>
              <w:t>and Telephone Number</w:t>
            </w:r>
          </w:p>
        </w:tc>
        <w:tc>
          <w:tcPr>
            <w:tcW w:w="15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725"/>
        <w:gridCol w:w="3095"/>
        <w:gridCol w:w="1040"/>
      </w:tblGrid>
      <w:tr>
        <w:trPr/>
        <w:tc>
          <w:tcPr>
            <w:tcW w:w="725" w:type="dxa"/>
            <w:tcBorders/>
            <w:vAlign w:val="center"/>
          </w:tcPr>
          <w:p>
            <w:pPr>
              <w:pStyle w:val="TableContents"/>
              <w:bidi w:val="0"/>
              <w:spacing w:before="0" w:after="283"/>
              <w:jc w:val="center"/>
              <w:rPr>
                <w:b/>
                <w:sz w:val="20"/>
              </w:rPr>
            </w:pPr>
            <w:bookmarkStart w:id="4" w:name="xdx_902_edei--EntityFileNumber_c20260914"/>
            <w:bookmarkEnd w:id="4"/>
            <w:r>
              <w:rPr>
                <w:b/>
                <w:sz w:val="20"/>
              </w:rPr>
              <w:t>1-31447</w:t>
            </w:r>
          </w:p>
        </w:tc>
        <w:tc>
          <w:tcPr>
            <w:tcW w:w="3095" w:type="dxa"/>
            <w:tcBorders/>
            <w:vAlign w:val="center"/>
          </w:tcPr>
          <w:p>
            <w:pPr>
              <w:pStyle w:val="TableContents"/>
              <w:bidi w:val="0"/>
              <w:spacing w:before="0" w:after="283"/>
              <w:jc w:val="center"/>
              <w:rPr>
                <w:b/>
                <w:sz w:val="28"/>
              </w:rPr>
            </w:pPr>
            <w:bookmarkStart w:id="5" w:name="xdx_906_edei--EntityRegistrantName_c2026"/>
            <w:bookmarkEnd w:id="5"/>
            <w:r>
              <w:rPr>
                <w:b/>
                <w:sz w:val="28"/>
              </w:rPr>
              <w:t>CenterPoint Energy, Inc.</w:t>
            </w:r>
          </w:p>
        </w:tc>
        <w:tc>
          <w:tcPr>
            <w:tcW w:w="1040" w:type="dxa"/>
            <w:tcBorders/>
            <w:vAlign w:val="center"/>
          </w:tcPr>
          <w:p>
            <w:pPr>
              <w:pStyle w:val="TableContents"/>
              <w:bidi w:val="0"/>
              <w:spacing w:before="0" w:after="283"/>
              <w:jc w:val="center"/>
              <w:rPr>
                <w:b/>
                <w:sz w:val="20"/>
              </w:rPr>
            </w:pPr>
            <w:bookmarkStart w:id="6" w:name="xdx_909_edei--EntityTaxIdentificationNum"/>
            <w:bookmarkEnd w:id="6"/>
            <w:r>
              <w:rPr>
                <w:b/>
                <w:sz w:val="20"/>
              </w:rPr>
              <w:t>74-0694415</w:t>
            </w:r>
          </w:p>
        </w:tc>
      </w:tr>
      <w:tr>
        <w:trPr/>
        <w:tc>
          <w:tcPr>
            <w:tcW w:w="7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b/>
                <w:sz w:val="20"/>
              </w:rPr>
            </w:pPr>
            <w:r>
              <w:rPr>
                <w:b/>
                <w:sz w:val="20"/>
              </w:rPr>
              <w:t xml:space="preserve">(a </w:t>
            </w:r>
            <w:bookmarkStart w:id="7" w:name="xdx_901_edei--EntityIncorporationStateCo"/>
            <w:bookmarkEnd w:id="7"/>
            <w:r>
              <w:rPr>
                <w:b/>
                <w:sz w:val="20"/>
              </w:rPr>
              <w:t>Texas corporation)</w:t>
            </w:r>
          </w:p>
        </w:tc>
        <w:tc>
          <w:tcPr>
            <w:tcW w:w="104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b/>
                <w:sz w:val="20"/>
              </w:rPr>
            </w:pPr>
            <w:bookmarkStart w:id="8" w:name="xdx_901_edei--EntityAddressAddressLine1_"/>
            <w:bookmarkEnd w:id="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9" w:name="xdx_90A_edei--EntityAddressCityOrTown_c2"/>
            <w:bookmarkEnd w:id="9"/>
            <w:r>
              <w:rPr>
                <w:b/>
                <w:sz w:val="20"/>
              </w:rPr>
              <w:t>Houston</w:t>
            </w:r>
          </w:p>
        </w:tc>
        <w:tc>
          <w:tcPr>
            <w:tcW w:w="815" w:type="dxa"/>
            <w:tcBorders/>
            <w:vAlign w:val="center"/>
          </w:tcPr>
          <w:p>
            <w:pPr>
              <w:pStyle w:val="TableContents"/>
              <w:bidi w:val="0"/>
              <w:spacing w:before="0" w:after="283"/>
              <w:jc w:val="center"/>
              <w:rPr>
                <w:b/>
                <w:sz w:val="20"/>
              </w:rPr>
            </w:pPr>
            <w:bookmarkStart w:id="10" w:name="xdx_90F_edei--EntityAddressStateOrProvin"/>
            <w:bookmarkEnd w:id="10"/>
            <w:r>
              <w:rPr>
                <w:b/>
                <w:sz w:val="20"/>
              </w:rPr>
              <w:t>Texas</w:t>
            </w:r>
          </w:p>
        </w:tc>
        <w:tc>
          <w:tcPr>
            <w:tcW w:w="545" w:type="dxa"/>
            <w:tcBorders/>
            <w:vAlign w:val="center"/>
          </w:tcPr>
          <w:p>
            <w:pPr>
              <w:pStyle w:val="TableContents"/>
              <w:bidi w:val="0"/>
              <w:spacing w:before="0" w:after="283"/>
              <w:jc w:val="center"/>
              <w:rPr>
                <w:b/>
                <w:sz w:val="20"/>
              </w:rPr>
            </w:pPr>
            <w:bookmarkStart w:id="11" w:name="xdx_901_edei--EntityAddressPostalZipCode"/>
            <w:bookmarkEnd w:id="1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bookmarkStart w:id="12" w:name="xdx_90E_edei--CityAreaCode_c20260914__20"/>
            <w:bookmarkEnd w:id="12"/>
            <w:r>
              <w:rPr>
                <w:b/>
                <w:sz w:val="20"/>
              </w:rPr>
              <w:t>713)</w:t>
            </w:r>
          </w:p>
        </w:tc>
        <w:tc>
          <w:tcPr>
            <w:tcW w:w="815" w:type="dxa"/>
            <w:tcBorders>
              <w:bottom w:val="single" w:sz="8" w:space="0" w:color="000000"/>
            </w:tcBorders>
            <w:tcMar>
              <w:bottom w:w="28" w:type="dxa"/>
            </w:tcMar>
            <w:vAlign w:val="center"/>
          </w:tcPr>
          <w:p>
            <w:pPr>
              <w:pStyle w:val="TableContents"/>
              <w:bidi w:val="0"/>
              <w:spacing w:before="0" w:after="283"/>
              <w:jc w:val="center"/>
              <w:rPr>
                <w:b/>
                <w:sz w:val="20"/>
              </w:rPr>
            </w:pPr>
            <w:bookmarkStart w:id="13" w:name="xdx_90C_edei--LocalPhoneNumber_c20260914"/>
            <w:bookmarkEnd w:id="13"/>
            <w:r>
              <w:rPr>
                <w:b/>
                <w:sz w:val="20"/>
              </w:rPr>
              <w:t>207-1111</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620"/>
        <w:gridCol w:w="5345"/>
        <w:gridCol w:w="1040"/>
      </w:tblGrid>
      <w:tr>
        <w:trPr/>
        <w:tc>
          <w:tcPr>
            <w:tcW w:w="620" w:type="dxa"/>
            <w:tcBorders/>
            <w:vAlign w:val="center"/>
          </w:tcPr>
          <w:p>
            <w:pPr>
              <w:pStyle w:val="TableContents"/>
              <w:bidi w:val="0"/>
              <w:spacing w:before="0" w:after="283"/>
              <w:jc w:val="center"/>
              <w:rPr>
                <w:b/>
                <w:sz w:val="20"/>
              </w:rPr>
            </w:pPr>
            <w:bookmarkStart w:id="14" w:name="xdx_903_edei--EntityFileNumber_c20260914"/>
            <w:bookmarkEnd w:id="14"/>
            <w:r>
              <w:rPr>
                <w:b/>
                <w:sz w:val="20"/>
              </w:rPr>
              <w:t>1-3187</w:t>
            </w:r>
          </w:p>
        </w:tc>
        <w:tc>
          <w:tcPr>
            <w:tcW w:w="5345" w:type="dxa"/>
            <w:tcBorders/>
            <w:vAlign w:val="center"/>
          </w:tcPr>
          <w:p>
            <w:pPr>
              <w:pStyle w:val="TableContents"/>
              <w:bidi w:val="0"/>
              <w:spacing w:before="0" w:after="283"/>
              <w:jc w:val="center"/>
              <w:rPr>
                <w:b/>
                <w:sz w:val="28"/>
              </w:rPr>
            </w:pPr>
            <w:bookmarkStart w:id="15" w:name="xdx_905_edei--EntityRegistrantName_c2026"/>
            <w:bookmarkEnd w:id="15"/>
            <w:r>
              <w:rPr>
                <w:b/>
                <w:sz w:val="28"/>
              </w:rPr>
              <w:t>CenterPoint Energy Houston Electric, LLC</w:t>
            </w:r>
          </w:p>
        </w:tc>
        <w:tc>
          <w:tcPr>
            <w:tcW w:w="1040" w:type="dxa"/>
            <w:tcBorders/>
            <w:vAlign w:val="center"/>
          </w:tcPr>
          <w:p>
            <w:pPr>
              <w:pStyle w:val="TableContents"/>
              <w:bidi w:val="0"/>
              <w:spacing w:before="0" w:after="283"/>
              <w:jc w:val="center"/>
              <w:rPr>
                <w:b/>
                <w:sz w:val="20"/>
              </w:rPr>
            </w:pPr>
            <w:bookmarkStart w:id="16" w:name="xdx_904_edei--EntityTaxIdentificationNum"/>
            <w:bookmarkEnd w:id="16"/>
            <w:r>
              <w:rPr>
                <w:b/>
                <w:sz w:val="20"/>
              </w:rPr>
              <w:t>22-3865106</w:t>
            </w:r>
          </w:p>
        </w:tc>
      </w:tr>
      <w:tr>
        <w:trPr/>
        <w:tc>
          <w:tcPr>
            <w:tcW w:w="62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b/>
                <w:sz w:val="20"/>
              </w:rPr>
            </w:pPr>
            <w:r>
              <w:rPr>
                <w:b/>
                <w:sz w:val="20"/>
              </w:rPr>
              <w:t xml:space="preserve">(a </w:t>
            </w:r>
            <w:bookmarkStart w:id="17" w:name="xdx_904_edei--EntityIncorporationStateCo"/>
            <w:bookmarkEnd w:id="17"/>
            <w:r>
              <w:rPr>
                <w:b/>
                <w:sz w:val="20"/>
              </w:rPr>
              <w:t>Texas limited liability company)</w:t>
            </w:r>
          </w:p>
        </w:tc>
        <w:tc>
          <w:tcPr>
            <w:tcW w:w="104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b/>
                <w:sz w:val="20"/>
              </w:rPr>
            </w:pPr>
            <w:bookmarkStart w:id="18" w:name="xdx_903_edei--EntityAddressAddressLine1_"/>
            <w:bookmarkEnd w:id="1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19" w:name="xdx_909_edei--EntityAddressCityOrTown_c2"/>
            <w:bookmarkEnd w:id="19"/>
            <w:r>
              <w:rPr>
                <w:b/>
                <w:sz w:val="20"/>
              </w:rPr>
              <w:t>Houston</w:t>
            </w:r>
          </w:p>
        </w:tc>
        <w:tc>
          <w:tcPr>
            <w:tcW w:w="815" w:type="dxa"/>
            <w:tcBorders/>
            <w:vAlign w:val="center"/>
          </w:tcPr>
          <w:p>
            <w:pPr>
              <w:pStyle w:val="TableContents"/>
              <w:bidi w:val="0"/>
              <w:spacing w:before="0" w:after="283"/>
              <w:jc w:val="center"/>
              <w:rPr>
                <w:b/>
                <w:sz w:val="20"/>
              </w:rPr>
            </w:pPr>
            <w:bookmarkStart w:id="20" w:name="xdx_90E_edei--EntityAddressStateOrProvin"/>
            <w:bookmarkEnd w:id="20"/>
            <w:r>
              <w:rPr>
                <w:b/>
                <w:sz w:val="20"/>
              </w:rPr>
              <w:t>Texas</w:t>
            </w:r>
          </w:p>
        </w:tc>
        <w:tc>
          <w:tcPr>
            <w:tcW w:w="545" w:type="dxa"/>
            <w:tcBorders/>
            <w:vAlign w:val="center"/>
          </w:tcPr>
          <w:p>
            <w:pPr>
              <w:pStyle w:val="TableContents"/>
              <w:bidi w:val="0"/>
              <w:spacing w:before="0" w:after="283"/>
              <w:jc w:val="center"/>
              <w:rPr>
                <w:b/>
                <w:sz w:val="20"/>
              </w:rPr>
            </w:pPr>
            <w:bookmarkStart w:id="21" w:name="xdx_90A_edei--EntityAddressPostalZipCode"/>
            <w:bookmarkEnd w:id="2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bookmarkStart w:id="22" w:name="xdx_903_edei--CityAreaCode_c20260914__20"/>
            <w:bookmarkEnd w:id="22"/>
            <w:r>
              <w:rPr>
                <w:b/>
                <w:sz w:val="20"/>
              </w:rPr>
              <w:t>713)</w:t>
            </w:r>
          </w:p>
        </w:tc>
        <w:tc>
          <w:tcPr>
            <w:tcW w:w="815" w:type="dxa"/>
            <w:tcBorders>
              <w:bottom w:val="single" w:sz="8" w:space="0" w:color="000000"/>
            </w:tcBorders>
            <w:tcMar>
              <w:bottom w:w="28" w:type="dxa"/>
            </w:tcMar>
            <w:vAlign w:val="center"/>
          </w:tcPr>
          <w:p>
            <w:pPr>
              <w:pStyle w:val="TableContents"/>
              <w:bidi w:val="0"/>
              <w:spacing w:before="0" w:after="283"/>
              <w:jc w:val="center"/>
              <w:rPr>
                <w:b/>
                <w:sz w:val="20"/>
              </w:rPr>
            </w:pPr>
            <w:bookmarkStart w:id="23" w:name="xdx_905_edei--LocalPhoneNumber_c20260914"/>
            <w:bookmarkEnd w:id="23"/>
            <w:r>
              <w:rPr>
                <w:b/>
                <w:sz w:val="20"/>
              </w:rPr>
              <w:t>207-1111</w:t>
            </w:r>
          </w:p>
        </w:tc>
        <w:tc>
          <w:tcPr>
            <w:tcW w:w="54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620"/>
        <w:gridCol w:w="4565"/>
        <w:gridCol w:w="1040"/>
      </w:tblGrid>
      <w:tr>
        <w:trPr/>
        <w:tc>
          <w:tcPr>
            <w:tcW w:w="620" w:type="dxa"/>
            <w:tcBorders/>
            <w:vAlign w:val="center"/>
          </w:tcPr>
          <w:p>
            <w:pPr>
              <w:pStyle w:val="TableContents"/>
              <w:bidi w:val="0"/>
              <w:spacing w:before="0" w:after="283"/>
              <w:jc w:val="center"/>
              <w:rPr>
                <w:b/>
                <w:sz w:val="20"/>
              </w:rPr>
            </w:pPr>
            <w:bookmarkStart w:id="24" w:name="xdx_900_edei--EntityFileNumber_c20260914"/>
            <w:bookmarkEnd w:id="24"/>
            <w:r>
              <w:rPr>
                <w:b/>
                <w:sz w:val="20"/>
              </w:rPr>
              <w:t>1-3265</w:t>
            </w:r>
          </w:p>
        </w:tc>
        <w:tc>
          <w:tcPr>
            <w:tcW w:w="4565" w:type="dxa"/>
            <w:tcBorders/>
            <w:vAlign w:val="center"/>
          </w:tcPr>
          <w:p>
            <w:pPr>
              <w:pStyle w:val="TableContents"/>
              <w:bidi w:val="0"/>
              <w:spacing w:before="0" w:after="283"/>
              <w:jc w:val="center"/>
              <w:rPr>
                <w:b/>
                <w:sz w:val="28"/>
              </w:rPr>
            </w:pPr>
            <w:bookmarkStart w:id="25" w:name="xdx_904_edei--EntityRegistrantName_c2026"/>
            <w:bookmarkEnd w:id="25"/>
            <w:r>
              <w:rPr>
                <w:b/>
                <w:sz w:val="28"/>
              </w:rPr>
              <w:t>CenterPoint Energy Resources Corp.</w:t>
            </w:r>
          </w:p>
        </w:tc>
        <w:tc>
          <w:tcPr>
            <w:tcW w:w="1040" w:type="dxa"/>
            <w:tcBorders/>
            <w:vAlign w:val="center"/>
          </w:tcPr>
          <w:p>
            <w:pPr>
              <w:pStyle w:val="TableContents"/>
              <w:bidi w:val="0"/>
              <w:spacing w:before="0" w:after="283"/>
              <w:jc w:val="center"/>
              <w:rPr>
                <w:b/>
                <w:sz w:val="20"/>
              </w:rPr>
            </w:pPr>
            <w:bookmarkStart w:id="26" w:name="xdx_903_edei--EntityTaxIdentificationNum"/>
            <w:bookmarkEnd w:id="26"/>
            <w:r>
              <w:rPr>
                <w:b/>
                <w:sz w:val="20"/>
              </w:rPr>
              <w:t>76-0511406</w:t>
            </w:r>
          </w:p>
        </w:tc>
      </w:tr>
      <w:tr>
        <w:trPr/>
        <w:tc>
          <w:tcPr>
            <w:tcW w:w="6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b/>
                <w:sz w:val="20"/>
              </w:rPr>
            </w:pPr>
            <w:r>
              <w:rPr>
                <w:b/>
                <w:sz w:val="20"/>
              </w:rPr>
              <w:t xml:space="preserve">(a </w:t>
            </w:r>
            <w:bookmarkStart w:id="27" w:name="xdx_904_edei--EntityIncorporationStateCo"/>
            <w:bookmarkEnd w:id="27"/>
            <w:r>
              <w:rPr>
                <w:b/>
                <w:sz w:val="20"/>
              </w:rPr>
              <w:t>Delaware corporation)</w:t>
            </w:r>
          </w:p>
        </w:tc>
        <w:tc>
          <w:tcPr>
            <w:tcW w:w="104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b/>
                <w:sz w:val="20"/>
              </w:rPr>
            </w:pPr>
            <w:bookmarkStart w:id="28" w:name="xdx_90E_edei--EntityAddressAddressLine1_"/>
            <w:bookmarkEnd w:id="2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29" w:name="xdx_90D_edei--EntityAddressCityOrTown_c2"/>
            <w:bookmarkEnd w:id="29"/>
            <w:r>
              <w:rPr>
                <w:b/>
                <w:sz w:val="20"/>
              </w:rPr>
              <w:t>Houston</w:t>
            </w:r>
          </w:p>
        </w:tc>
        <w:tc>
          <w:tcPr>
            <w:tcW w:w="815" w:type="dxa"/>
            <w:tcBorders/>
            <w:vAlign w:val="center"/>
          </w:tcPr>
          <w:p>
            <w:pPr>
              <w:pStyle w:val="TableContents"/>
              <w:bidi w:val="0"/>
              <w:spacing w:before="0" w:after="283"/>
              <w:jc w:val="center"/>
              <w:rPr>
                <w:b/>
                <w:sz w:val="20"/>
              </w:rPr>
            </w:pPr>
            <w:bookmarkStart w:id="30" w:name="xdx_90B_edei--EntityAddressStateOrProvin"/>
            <w:bookmarkEnd w:id="30"/>
            <w:r>
              <w:rPr>
                <w:b/>
                <w:sz w:val="20"/>
              </w:rPr>
              <w:t>Texas</w:t>
            </w:r>
          </w:p>
        </w:tc>
        <w:tc>
          <w:tcPr>
            <w:tcW w:w="545" w:type="dxa"/>
            <w:tcBorders/>
            <w:vAlign w:val="center"/>
          </w:tcPr>
          <w:p>
            <w:pPr>
              <w:pStyle w:val="TableContents"/>
              <w:bidi w:val="0"/>
              <w:spacing w:before="0" w:after="283"/>
              <w:jc w:val="center"/>
              <w:rPr>
                <w:b/>
                <w:sz w:val="20"/>
              </w:rPr>
            </w:pPr>
            <w:bookmarkStart w:id="31" w:name="xdx_902_edei--EntityAddressPostalZipCode"/>
            <w:bookmarkEnd w:id="3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bookmarkStart w:id="32" w:name="xdx_90C_edei--CityAreaCode_c20260914__20"/>
            <w:bookmarkEnd w:id="32"/>
            <w:r>
              <w:rPr>
                <w:b/>
                <w:sz w:val="20"/>
              </w:rPr>
              <w:t>713)</w:t>
            </w:r>
          </w:p>
        </w:tc>
        <w:tc>
          <w:tcPr>
            <w:tcW w:w="815" w:type="dxa"/>
            <w:tcBorders>
              <w:bottom w:val="single" w:sz="8" w:space="0" w:color="000000"/>
            </w:tcBorders>
            <w:tcMar>
              <w:bottom w:w="28" w:type="dxa"/>
            </w:tcMar>
            <w:vAlign w:val="center"/>
          </w:tcPr>
          <w:p>
            <w:pPr>
              <w:pStyle w:val="TableContents"/>
              <w:bidi w:val="0"/>
              <w:spacing w:before="0" w:after="283"/>
              <w:jc w:val="center"/>
              <w:rPr>
                <w:b/>
                <w:sz w:val="20"/>
              </w:rPr>
            </w:pPr>
            <w:bookmarkStart w:id="33" w:name="xdx_908_edei--LocalPhoneNumber_c20260914"/>
            <w:bookmarkEnd w:id="33"/>
            <w:r>
              <w:rPr>
                <w:b/>
                <w:sz w:val="20"/>
              </w:rPr>
              <w:t>207-1111</w:t>
            </w:r>
          </w:p>
        </w:tc>
        <w:tc>
          <w:tcPr>
            <w:tcW w:w="54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4" w:name="xdx_90E_edei--WrittenCommunications_c202"/>
            <w:bookmarkEnd w:id="3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5" w:name="xdx_90E_edei--SolicitingMaterial_c202609"/>
            <w:bookmarkEnd w:id="3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6" w:name="xdx_904_edei--PreCommencementTenderOffer"/>
            <w:bookmarkEnd w:id="3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7" w:name="xdx_904_edei--PreCommencementIssuerTende"/>
            <w:bookmarkEnd w:id="3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0"/>
        <w:gridCol w:w="2723"/>
        <w:gridCol w:w="1309"/>
        <w:gridCol w:w="2843"/>
      </w:tblGrid>
      <w:tr>
        <w:trPr/>
        <w:tc>
          <w:tcPr>
            <w:tcW w:w="10205" w:type="dxa"/>
            <w:gridSpan w:val="4"/>
            <w:tcBorders/>
            <w:vAlign w:val="center"/>
          </w:tcPr>
          <w:p>
            <w:pPr>
              <w:pStyle w:val="TableContents"/>
              <w:bidi w:val="0"/>
              <w:spacing w:before="0" w:after="283"/>
              <w:jc w:val="left"/>
              <w:rPr>
                <w:sz w:val="20"/>
              </w:rPr>
            </w:pPr>
            <w:r>
              <w:rPr>
                <w:sz w:val="20"/>
              </w:rPr>
              <w:t>Securities registered pursuant to Section 12(b) of the Act:</w:t>
            </w:r>
          </w:p>
        </w:tc>
      </w:tr>
      <w:tr>
        <w:trPr/>
        <w:tc>
          <w:tcPr>
            <w:tcW w:w="10205" w:type="dxa"/>
            <w:gridSpan w:val="4"/>
            <w:tcBorders/>
            <w:vAlign w:val="center"/>
          </w:tcPr>
          <w:p>
            <w:pPr>
              <w:pStyle w:val="TableContents"/>
              <w:bidi w:val="0"/>
              <w:spacing w:before="0" w:after="283"/>
              <w:jc w:val="left"/>
              <w:rPr/>
            </w:pPr>
            <w:r>
              <w:rPr/>
              <w:t> </w:t>
            </w:r>
          </w:p>
        </w:tc>
      </w:tr>
      <w:tr>
        <w:trPr/>
        <w:tc>
          <w:tcPr>
            <w:tcW w:w="33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Registrants</w:t>
            </w:r>
          </w:p>
        </w:tc>
        <w:tc>
          <w:tcPr>
            <w:tcW w:w="2723" w:type="dxa"/>
            <w:tcBorders>
              <w:bottom w:val="single" w:sz="8" w:space="0" w:color="000000"/>
            </w:tcBorders>
            <w:tcMar>
              <w:bottom w:w="28" w:type="dxa"/>
            </w:tcMar>
            <w:vAlign w:val="center"/>
          </w:tcPr>
          <w:p>
            <w:pPr>
              <w:pStyle w:val="TableContents"/>
              <w:bidi w:val="0"/>
              <w:spacing w:before="0" w:after="283"/>
              <w:jc w:val="center"/>
              <w:rPr>
                <w:sz w:val="20"/>
              </w:rPr>
            </w:pPr>
            <w:r>
              <w:rPr>
                <w:sz w:val="20"/>
              </w:rPr>
              <w:t>Title of each class</w:t>
            </w:r>
          </w:p>
        </w:tc>
        <w:tc>
          <w:tcPr>
            <w:tcW w:w="1309" w:type="dxa"/>
            <w:tcBorders>
              <w:bottom w:val="single" w:sz="8" w:space="0" w:color="000000"/>
            </w:tcBorders>
            <w:tcMar>
              <w:bottom w:w="28" w:type="dxa"/>
            </w:tcMar>
            <w:vAlign w:val="center"/>
          </w:tcPr>
          <w:p>
            <w:pPr>
              <w:pStyle w:val="TableContents"/>
              <w:bidi w:val="0"/>
              <w:spacing w:before="0" w:after="283"/>
              <w:jc w:val="center"/>
              <w:rPr>
                <w:sz w:val="20"/>
              </w:rPr>
            </w:pPr>
            <w:r>
              <w:rPr>
                <w:sz w:val="20"/>
              </w:rPr>
              <w:t>Trading Symbol(s)</w:t>
            </w:r>
          </w:p>
        </w:tc>
        <w:tc>
          <w:tcPr>
            <w:tcW w:w="2843" w:type="dxa"/>
            <w:tcBorders>
              <w:bottom w:val="single" w:sz="8" w:space="0" w:color="000000"/>
            </w:tcBorders>
            <w:tcMar>
              <w:bottom w:w="28" w:type="dxa"/>
            </w:tcMar>
            <w:vAlign w:val="center"/>
          </w:tcPr>
          <w:p>
            <w:pPr>
              <w:pStyle w:val="TableContents"/>
              <w:bidi w:val="0"/>
              <w:spacing w:before="0" w:after="283"/>
              <w:jc w:val="center"/>
              <w:rPr>
                <w:sz w:val="20"/>
              </w:rPr>
            </w:pPr>
            <w:r>
              <w:rPr>
                <w:sz w:val="20"/>
              </w:rPr>
              <w:t>Name of each exchange on which registered</w:t>
            </w:r>
          </w:p>
        </w:tc>
      </w:tr>
      <w:tr>
        <w:trPr/>
        <w:tc>
          <w:tcPr>
            <w:tcW w:w="3330" w:type="dxa"/>
            <w:tcBorders/>
            <w:vAlign w:val="center"/>
          </w:tcPr>
          <w:p>
            <w:pPr>
              <w:pStyle w:val="TableContents"/>
              <w:bidi w:val="0"/>
              <w:spacing w:before="0" w:after="283"/>
              <w:jc w:val="center"/>
              <w:rPr/>
            </w:pPr>
            <w:r>
              <w:rPr/>
              <w:t> </w:t>
            </w:r>
          </w:p>
        </w:tc>
        <w:tc>
          <w:tcPr>
            <w:tcW w:w="2723" w:type="dxa"/>
            <w:tcBorders/>
            <w:vAlign w:val="center"/>
          </w:tcPr>
          <w:p>
            <w:pPr>
              <w:pStyle w:val="TableContents"/>
              <w:bidi w:val="0"/>
              <w:spacing w:before="0" w:after="283"/>
              <w:jc w:val="center"/>
              <w:rPr/>
            </w:pPr>
            <w:r>
              <w:rPr/>
              <w:t> </w:t>
            </w:r>
          </w:p>
        </w:tc>
        <w:tc>
          <w:tcPr>
            <w:tcW w:w="1309" w:type="dxa"/>
            <w:tcBorders/>
            <w:vAlign w:val="center"/>
          </w:tcPr>
          <w:p>
            <w:pPr>
              <w:pStyle w:val="TableContents"/>
              <w:bidi w:val="0"/>
              <w:spacing w:before="0" w:after="283"/>
              <w:jc w:val="center"/>
              <w:rPr/>
            </w:pPr>
            <w:r>
              <w:rPr/>
              <w:t> </w:t>
            </w:r>
          </w:p>
        </w:tc>
        <w:tc>
          <w:tcPr>
            <w:tcW w:w="2843" w:type="dxa"/>
            <w:tcBorders/>
            <w:vAlign w:val="center"/>
          </w:tcPr>
          <w:p>
            <w:pPr>
              <w:pStyle w:val="TableContents"/>
              <w:bidi w:val="0"/>
              <w:spacing w:before="0" w:after="283"/>
              <w:jc w:val="center"/>
              <w:rPr/>
            </w:pPr>
            <w:r>
              <w:rPr/>
              <w:t> </w:t>
            </w:r>
          </w:p>
        </w:tc>
      </w:tr>
      <w:tr>
        <w:trPr/>
        <w:tc>
          <w:tcPr>
            <w:tcW w:w="3330" w:type="dxa"/>
            <w:vMerge w:val="restart"/>
            <w:tcBorders/>
            <w:vAlign w:val="center"/>
          </w:tcPr>
          <w:p>
            <w:pPr>
              <w:pStyle w:val="TableContents"/>
              <w:bidi w:val="0"/>
              <w:spacing w:before="0" w:after="283"/>
              <w:jc w:val="center"/>
              <w:rPr>
                <w:sz w:val="20"/>
              </w:rPr>
            </w:pPr>
            <w:r>
              <w:rPr>
                <w:sz w:val="20"/>
              </w:rPr>
              <w:t>CenterPoint Energy, Inc.</w:t>
            </w:r>
          </w:p>
        </w:tc>
        <w:tc>
          <w:tcPr>
            <w:tcW w:w="2723" w:type="dxa"/>
            <w:vMerge w:val="restart"/>
            <w:tcBorders/>
            <w:vAlign w:val="center"/>
          </w:tcPr>
          <w:p>
            <w:pPr>
              <w:pStyle w:val="TableContents"/>
              <w:bidi w:val="0"/>
              <w:spacing w:before="0" w:after="283"/>
              <w:jc w:val="center"/>
              <w:rPr>
                <w:sz w:val="20"/>
              </w:rPr>
            </w:pPr>
            <w:bookmarkStart w:id="38" w:name="xdx_90C_edei--Security12bTitle_c20260914"/>
            <w:bookmarkEnd w:id="38"/>
            <w:r>
              <w:rPr>
                <w:sz w:val="20"/>
              </w:rPr>
              <w:t>Common Stock, $0.01 par value</w:t>
            </w:r>
          </w:p>
        </w:tc>
        <w:tc>
          <w:tcPr>
            <w:tcW w:w="1309" w:type="dxa"/>
            <w:vMerge w:val="restart"/>
            <w:tcBorders/>
            <w:vAlign w:val="center"/>
          </w:tcPr>
          <w:p>
            <w:pPr>
              <w:pStyle w:val="TableContents"/>
              <w:bidi w:val="0"/>
              <w:spacing w:before="0" w:after="283"/>
              <w:jc w:val="center"/>
              <w:rPr>
                <w:sz w:val="20"/>
              </w:rPr>
            </w:pPr>
            <w:bookmarkStart w:id="39" w:name="xdx_905_edei--TradingSymbol_c20260914__2"/>
            <w:bookmarkEnd w:id="39"/>
            <w:r>
              <w:rPr>
                <w:sz w:val="20"/>
              </w:rPr>
              <w:t>CNP</w:t>
            </w:r>
          </w:p>
        </w:tc>
        <w:tc>
          <w:tcPr>
            <w:tcW w:w="2843" w:type="dxa"/>
            <w:tcBorders/>
            <w:vAlign w:val="center"/>
          </w:tcPr>
          <w:p>
            <w:pPr>
              <w:pStyle w:val="TableContents"/>
              <w:bidi w:val="0"/>
              <w:spacing w:before="0" w:after="283"/>
              <w:jc w:val="center"/>
              <w:rPr>
                <w:sz w:val="20"/>
              </w:rPr>
            </w:pPr>
            <w:bookmarkStart w:id="40" w:name="xdx_907_edei--SecurityExchangeName_c2026"/>
            <w:bookmarkEnd w:id="40"/>
            <w:r>
              <w:rPr>
                <w:sz w:val="20"/>
              </w:rPr>
              <w:t>The New York Stock Exchange</w:t>
            </w:r>
          </w:p>
        </w:tc>
      </w:tr>
      <w:tr>
        <w:trPr/>
        <w:tc>
          <w:tcPr>
            <w:tcW w:w="3330" w:type="dxa"/>
            <w:vMerge w:val="continue"/>
            <w:tcBorders/>
            <w:vAlign w:val="center"/>
          </w:tcPr>
          <w:p>
            <w:pPr>
              <w:pStyle w:val="Normal"/>
              <w:bidi w:val="0"/>
              <w:jc w:val="left"/>
              <w:rPr/>
            </w:pPr>
            <w:r>
              <w:rPr/>
            </w:r>
          </w:p>
        </w:tc>
        <w:tc>
          <w:tcPr>
            <w:tcW w:w="2723" w:type="dxa"/>
            <w:vMerge w:val="continue"/>
            <w:tcBorders/>
            <w:vAlign w:val="center"/>
          </w:tcPr>
          <w:p>
            <w:pPr>
              <w:pStyle w:val="Normal"/>
              <w:bidi w:val="0"/>
              <w:jc w:val="left"/>
              <w:rPr/>
            </w:pPr>
            <w:r>
              <w:rPr/>
            </w:r>
          </w:p>
        </w:tc>
        <w:tc>
          <w:tcPr>
            <w:tcW w:w="1309" w:type="dxa"/>
            <w:vMerge w:val="continue"/>
            <w:tcBorders/>
            <w:vAlign w:val="center"/>
          </w:tcPr>
          <w:p>
            <w:pPr>
              <w:pStyle w:val="Normal"/>
              <w:bidi w:val="0"/>
              <w:jc w:val="left"/>
              <w:rPr/>
            </w:pPr>
            <w:r>
              <w:rPr/>
            </w:r>
          </w:p>
        </w:tc>
        <w:tc>
          <w:tcPr>
            <w:tcW w:w="2843" w:type="dxa"/>
            <w:tcBorders/>
            <w:vAlign w:val="center"/>
          </w:tcPr>
          <w:p>
            <w:pPr>
              <w:pStyle w:val="TableContents"/>
              <w:bidi w:val="0"/>
              <w:spacing w:before="0" w:after="283"/>
              <w:jc w:val="center"/>
              <w:rPr>
                <w:sz w:val="20"/>
              </w:rPr>
            </w:pPr>
            <w:r>
              <w:rPr>
                <w:sz w:val="20"/>
              </w:rPr>
              <w:t>NYSE Texas</w:t>
            </w:r>
          </w:p>
        </w:tc>
      </w:tr>
      <w:tr>
        <w:trPr/>
        <w:tc>
          <w:tcPr>
            <w:tcW w:w="3330" w:type="dxa"/>
            <w:tcBorders/>
            <w:vAlign w:val="center"/>
          </w:tcPr>
          <w:p>
            <w:pPr>
              <w:pStyle w:val="TableContents"/>
              <w:bidi w:val="0"/>
              <w:spacing w:before="0" w:after="283"/>
              <w:jc w:val="center"/>
              <w:rPr/>
            </w:pPr>
            <w:r>
              <w:rPr/>
              <w:t> </w:t>
            </w:r>
          </w:p>
        </w:tc>
        <w:tc>
          <w:tcPr>
            <w:tcW w:w="2723" w:type="dxa"/>
            <w:tcBorders/>
            <w:vAlign w:val="center"/>
          </w:tcPr>
          <w:p>
            <w:pPr>
              <w:pStyle w:val="TableContents"/>
              <w:bidi w:val="0"/>
              <w:spacing w:before="0" w:after="283"/>
              <w:jc w:val="center"/>
              <w:rPr/>
            </w:pPr>
            <w:r>
              <w:rPr/>
              <w:t> </w:t>
            </w:r>
          </w:p>
        </w:tc>
        <w:tc>
          <w:tcPr>
            <w:tcW w:w="1309" w:type="dxa"/>
            <w:tcBorders/>
            <w:vAlign w:val="center"/>
          </w:tcPr>
          <w:p>
            <w:pPr>
              <w:pStyle w:val="TableContents"/>
              <w:bidi w:val="0"/>
              <w:spacing w:before="0" w:after="283"/>
              <w:jc w:val="center"/>
              <w:rPr/>
            </w:pPr>
            <w:r>
              <w:rPr/>
              <w:t> </w:t>
            </w:r>
          </w:p>
        </w:tc>
        <w:tc>
          <w:tcPr>
            <w:tcW w:w="2843" w:type="dxa"/>
            <w:tcBorders/>
            <w:vAlign w:val="center"/>
          </w:tcPr>
          <w:p>
            <w:pPr>
              <w:pStyle w:val="TableContents"/>
              <w:bidi w:val="0"/>
              <w:spacing w:before="0" w:after="283"/>
              <w:jc w:val="center"/>
              <w:rPr/>
            </w:pPr>
            <w:r>
              <w:rPr/>
              <w:t> </w:t>
            </w:r>
          </w:p>
        </w:tc>
      </w:tr>
      <w:tr>
        <w:trPr/>
        <w:tc>
          <w:tcPr>
            <w:tcW w:w="3330" w:type="dxa"/>
            <w:tcBorders/>
            <w:vAlign w:val="center"/>
          </w:tcPr>
          <w:p>
            <w:pPr>
              <w:pStyle w:val="TableContents"/>
              <w:bidi w:val="0"/>
              <w:spacing w:before="0" w:after="283"/>
              <w:jc w:val="center"/>
              <w:rPr/>
            </w:pPr>
            <w:r>
              <w:rPr/>
              <w:t>CenterPoint Energy Houston Electric, LLC</w:t>
            </w:r>
          </w:p>
        </w:tc>
        <w:tc>
          <w:tcPr>
            <w:tcW w:w="2723" w:type="dxa"/>
            <w:tcBorders/>
            <w:vAlign w:val="center"/>
          </w:tcPr>
          <w:p>
            <w:pPr>
              <w:pStyle w:val="TableContents"/>
              <w:bidi w:val="0"/>
              <w:spacing w:before="0" w:after="283"/>
              <w:jc w:val="center"/>
              <w:rPr>
                <w:sz w:val="20"/>
              </w:rPr>
            </w:pPr>
            <w:bookmarkStart w:id="41" w:name="xdx_90A_edei--Security12bTitle_c20260914"/>
            <w:bookmarkEnd w:id="41"/>
            <w:r>
              <w:rPr>
                <w:sz w:val="20"/>
              </w:rPr>
              <w:t>6.95% General Mortgage Bonds due 2033</w:t>
            </w:r>
          </w:p>
        </w:tc>
        <w:tc>
          <w:tcPr>
            <w:tcW w:w="1309" w:type="dxa"/>
            <w:tcBorders/>
            <w:vAlign w:val="center"/>
          </w:tcPr>
          <w:p>
            <w:pPr>
              <w:pStyle w:val="TableContents"/>
              <w:bidi w:val="0"/>
              <w:spacing w:before="0" w:after="283"/>
              <w:jc w:val="center"/>
              <w:rPr>
                <w:sz w:val="20"/>
              </w:rPr>
            </w:pPr>
            <w:bookmarkStart w:id="42" w:name="xdx_90D_edei--TradingSymbol_dxL_c2026091"/>
            <w:bookmarkEnd w:id="42"/>
            <w:r>
              <w:rPr>
                <w:sz w:val="20"/>
              </w:rPr>
              <w:t>n/a</w:t>
            </w:r>
          </w:p>
        </w:tc>
        <w:tc>
          <w:tcPr>
            <w:tcW w:w="2843" w:type="dxa"/>
            <w:tcBorders/>
            <w:vAlign w:val="center"/>
          </w:tcPr>
          <w:p>
            <w:pPr>
              <w:pStyle w:val="TableContents"/>
              <w:bidi w:val="0"/>
              <w:spacing w:before="0" w:after="283"/>
              <w:jc w:val="center"/>
              <w:rPr>
                <w:sz w:val="20"/>
              </w:rPr>
            </w:pPr>
            <w:bookmarkStart w:id="43" w:name="xdx_902_edei--SecurityExchangeName_c2026"/>
            <w:bookmarkEnd w:id="43"/>
            <w:r>
              <w:rPr>
                <w:sz w:val="20"/>
              </w:rPr>
              <w:t>The New York Stock Exchange</w:t>
            </w:r>
          </w:p>
        </w:tc>
      </w:tr>
      <w:tr>
        <w:trPr/>
        <w:tc>
          <w:tcPr>
            <w:tcW w:w="3330" w:type="dxa"/>
            <w:tcBorders/>
            <w:vAlign w:val="center"/>
          </w:tcPr>
          <w:p>
            <w:pPr>
              <w:pStyle w:val="TableContents"/>
              <w:bidi w:val="0"/>
              <w:spacing w:before="0" w:after="283"/>
              <w:jc w:val="center"/>
              <w:rPr/>
            </w:pPr>
            <w:r>
              <w:rPr/>
              <w:t> </w:t>
            </w:r>
          </w:p>
        </w:tc>
        <w:tc>
          <w:tcPr>
            <w:tcW w:w="2723" w:type="dxa"/>
            <w:tcBorders/>
            <w:vAlign w:val="center"/>
          </w:tcPr>
          <w:p>
            <w:pPr>
              <w:pStyle w:val="TableContents"/>
              <w:bidi w:val="0"/>
              <w:spacing w:before="0" w:after="283"/>
              <w:jc w:val="center"/>
              <w:rPr/>
            </w:pPr>
            <w:r>
              <w:rPr/>
              <w:t> </w:t>
            </w:r>
          </w:p>
        </w:tc>
        <w:tc>
          <w:tcPr>
            <w:tcW w:w="1309" w:type="dxa"/>
            <w:tcBorders/>
            <w:vAlign w:val="center"/>
          </w:tcPr>
          <w:p>
            <w:pPr>
              <w:pStyle w:val="TableContents"/>
              <w:bidi w:val="0"/>
              <w:spacing w:before="0" w:after="283"/>
              <w:jc w:val="center"/>
              <w:rPr/>
            </w:pPr>
            <w:r>
              <w:rPr/>
              <w:t> </w:t>
            </w:r>
          </w:p>
        </w:tc>
        <w:tc>
          <w:tcPr>
            <w:tcW w:w="2843" w:type="dxa"/>
            <w:tcBorders/>
            <w:vAlign w:val="center"/>
          </w:tcPr>
          <w:p>
            <w:pPr>
              <w:pStyle w:val="TableContents"/>
              <w:bidi w:val="0"/>
              <w:spacing w:before="0" w:after="283"/>
              <w:jc w:val="center"/>
              <w:rPr/>
            </w:pPr>
            <w:r>
              <w:rPr/>
              <w:t> </w:t>
            </w:r>
          </w:p>
        </w:tc>
      </w:tr>
      <w:tr>
        <w:trPr/>
        <w:tc>
          <w:tcPr>
            <w:tcW w:w="3330" w:type="dxa"/>
            <w:tcBorders/>
            <w:vAlign w:val="center"/>
          </w:tcPr>
          <w:p>
            <w:pPr>
              <w:pStyle w:val="TableContents"/>
              <w:bidi w:val="0"/>
              <w:spacing w:before="0" w:after="283"/>
              <w:jc w:val="center"/>
              <w:rPr/>
            </w:pPr>
            <w:r>
              <w:rPr/>
              <w:t>CenterPoint Energy Resources Corp.</w:t>
            </w:r>
          </w:p>
        </w:tc>
        <w:tc>
          <w:tcPr>
            <w:tcW w:w="2723" w:type="dxa"/>
            <w:tcBorders/>
            <w:vAlign w:val="center"/>
          </w:tcPr>
          <w:p>
            <w:pPr>
              <w:pStyle w:val="TableContents"/>
              <w:bidi w:val="0"/>
              <w:spacing w:before="0" w:after="283"/>
              <w:jc w:val="center"/>
              <w:rPr>
                <w:sz w:val="20"/>
              </w:rPr>
            </w:pPr>
            <w:bookmarkStart w:id="44" w:name="xdx_90C_edei--Security12bTitle_c20260914"/>
            <w:bookmarkEnd w:id="44"/>
            <w:r>
              <w:rPr>
                <w:sz w:val="20"/>
              </w:rPr>
              <w:t>6.625% Senior Notes due 2037</w:t>
            </w:r>
          </w:p>
        </w:tc>
        <w:tc>
          <w:tcPr>
            <w:tcW w:w="1309" w:type="dxa"/>
            <w:tcBorders/>
            <w:vAlign w:val="center"/>
          </w:tcPr>
          <w:p>
            <w:pPr>
              <w:pStyle w:val="TableContents"/>
              <w:bidi w:val="0"/>
              <w:spacing w:before="0" w:after="283"/>
              <w:jc w:val="center"/>
              <w:rPr>
                <w:sz w:val="20"/>
              </w:rPr>
            </w:pPr>
            <w:bookmarkStart w:id="45" w:name="xdx_90D_edei--TradingSymbol_dxL_c2026091"/>
            <w:bookmarkEnd w:id="45"/>
            <w:r>
              <w:rPr>
                <w:sz w:val="20"/>
              </w:rPr>
              <w:t>n/a</w:t>
            </w:r>
          </w:p>
        </w:tc>
        <w:tc>
          <w:tcPr>
            <w:tcW w:w="2843" w:type="dxa"/>
            <w:tcBorders/>
            <w:vAlign w:val="center"/>
          </w:tcPr>
          <w:p>
            <w:pPr>
              <w:pStyle w:val="TableContents"/>
              <w:bidi w:val="0"/>
              <w:spacing w:before="0" w:after="283"/>
              <w:jc w:val="center"/>
              <w:rPr>
                <w:sz w:val="20"/>
              </w:rPr>
            </w:pPr>
            <w:bookmarkStart w:id="46" w:name="xdx_90A_edei--SecurityExchangeName_c2026"/>
            <w:bookmarkEnd w:id="46"/>
            <w:r>
              <w:rPr>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47" w:name="xdx_905_edei--EntityEmergingGrowthCompan"/>
      <w:bookmarkEnd w:id="4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6430" w:type="dxa"/>
        <w:jc w:val="left"/>
        <w:tblInd w:w="0" w:type="dxa"/>
        <w:tblLayout w:type="fixed"/>
        <w:tblCellMar>
          <w:top w:w="0" w:type="dxa"/>
          <w:left w:w="0" w:type="dxa"/>
          <w:bottom w:w="0" w:type="dxa"/>
          <w:right w:w="0" w:type="dxa"/>
        </w:tblCellMar>
      </w:tblPr>
      <w:tblGrid>
        <w:gridCol w:w="5195"/>
        <w:gridCol w:w="1235"/>
      </w:tblGrid>
      <w:tr>
        <w:trPr/>
        <w:tc>
          <w:tcPr>
            <w:tcW w:w="5195" w:type="dxa"/>
            <w:tcBorders/>
            <w:vAlign w:val="center"/>
          </w:tcPr>
          <w:p>
            <w:pPr>
              <w:pStyle w:val="TableContents"/>
              <w:bidi w:val="0"/>
              <w:spacing w:before="0" w:after="283"/>
              <w:jc w:val="left"/>
              <w:rPr/>
            </w:pPr>
            <w:r>
              <w:rPr/>
              <w:t>Co-Registrant CIK</w:t>
            </w:r>
          </w:p>
        </w:tc>
        <w:tc>
          <w:tcPr>
            <w:tcW w:w="1235" w:type="dxa"/>
            <w:tcBorders/>
            <w:vAlign w:val="center"/>
          </w:tcPr>
          <w:p>
            <w:pPr>
              <w:pStyle w:val="TableContents"/>
              <w:bidi w:val="0"/>
              <w:spacing w:before="0" w:after="283"/>
              <w:jc w:val="left"/>
              <w:rPr/>
            </w:pPr>
            <w:bookmarkStart w:id="48" w:name="xdx_90B_edei--EntityCentralIndexKey_dxL_"/>
            <w:bookmarkEnd w:id="48"/>
            <w:r>
              <w:rPr/>
              <w:t>0000048732</w:t>
            </w:r>
          </w:p>
        </w:tc>
      </w:tr>
      <w:tr>
        <w:trPr/>
        <w:tc>
          <w:tcPr>
            <w:tcW w:w="5195" w:type="dxa"/>
            <w:tcBorders/>
            <w:vAlign w:val="center"/>
          </w:tcPr>
          <w:p>
            <w:pPr>
              <w:pStyle w:val="TableContents"/>
              <w:bidi w:val="0"/>
              <w:spacing w:before="0" w:after="283"/>
              <w:jc w:val="left"/>
              <w:rPr/>
            </w:pPr>
            <w:r>
              <w:rPr/>
              <w:t>Co-Registrant Amendment Flag</w:t>
            </w:r>
          </w:p>
        </w:tc>
        <w:tc>
          <w:tcPr>
            <w:tcW w:w="1235" w:type="dxa"/>
            <w:tcBorders/>
            <w:vAlign w:val="center"/>
          </w:tcPr>
          <w:p>
            <w:pPr>
              <w:pStyle w:val="TableContents"/>
              <w:bidi w:val="0"/>
              <w:spacing w:before="0" w:after="283"/>
              <w:jc w:val="left"/>
              <w:rPr/>
            </w:pPr>
            <w:bookmarkStart w:id="49" w:name="xdx_904_edei--AmendmentFlag_dxL_c2026091"/>
            <w:bookmarkEnd w:id="49"/>
            <w:r>
              <w:rPr/>
              <w:t>false</w:t>
            </w:r>
          </w:p>
        </w:tc>
      </w:tr>
      <w:tr>
        <w:trPr/>
        <w:tc>
          <w:tcPr>
            <w:tcW w:w="5195" w:type="dxa"/>
            <w:tcBorders/>
            <w:vAlign w:val="center"/>
          </w:tcPr>
          <w:p>
            <w:pPr>
              <w:pStyle w:val="TableContents"/>
              <w:bidi w:val="0"/>
              <w:spacing w:before="0" w:after="283"/>
              <w:jc w:val="left"/>
              <w:rPr/>
            </w:pPr>
            <w:r>
              <w:rPr/>
              <w:t>Co-Registrant Form Type</w:t>
            </w:r>
          </w:p>
        </w:tc>
        <w:tc>
          <w:tcPr>
            <w:tcW w:w="1235" w:type="dxa"/>
            <w:tcBorders/>
            <w:vAlign w:val="center"/>
          </w:tcPr>
          <w:p>
            <w:pPr>
              <w:pStyle w:val="TableContents"/>
              <w:bidi w:val="0"/>
              <w:spacing w:before="0" w:after="283"/>
              <w:jc w:val="left"/>
              <w:rPr/>
            </w:pPr>
            <w:bookmarkStart w:id="50" w:name="xdx_908_edei--DocumentType_dxL_c20260914"/>
            <w:bookmarkEnd w:id="50"/>
            <w:r>
              <w:rPr/>
              <w:t>8-K</w:t>
            </w:r>
          </w:p>
        </w:tc>
      </w:tr>
      <w:tr>
        <w:trPr/>
        <w:tc>
          <w:tcPr>
            <w:tcW w:w="5195" w:type="dxa"/>
            <w:tcBorders/>
            <w:vAlign w:val="center"/>
          </w:tcPr>
          <w:p>
            <w:pPr>
              <w:pStyle w:val="TableContents"/>
              <w:bidi w:val="0"/>
              <w:spacing w:before="0" w:after="283"/>
              <w:jc w:val="left"/>
              <w:rPr/>
            </w:pPr>
            <w:r>
              <w:rPr/>
              <w:t>Co-Registrant DocumentPeriodEndDate</w:t>
            </w:r>
          </w:p>
        </w:tc>
        <w:tc>
          <w:tcPr>
            <w:tcW w:w="1235" w:type="dxa"/>
            <w:tcBorders/>
            <w:vAlign w:val="center"/>
          </w:tcPr>
          <w:p>
            <w:pPr>
              <w:pStyle w:val="TableContents"/>
              <w:bidi w:val="0"/>
              <w:spacing w:before="0" w:after="283"/>
              <w:jc w:val="left"/>
              <w:rPr/>
            </w:pPr>
            <w:bookmarkStart w:id="51" w:name="xdx_907_edei--DocumentPeriodEndDate_dxL_"/>
            <w:bookmarkEnd w:id="51"/>
            <w:r>
              <w:rPr/>
              <w:t>2026-09-14</w:t>
            </w:r>
          </w:p>
        </w:tc>
      </w:tr>
      <w:tr>
        <w:trPr/>
        <w:tc>
          <w:tcPr>
            <w:tcW w:w="5195" w:type="dxa"/>
            <w:tcBorders/>
            <w:vAlign w:val="center"/>
          </w:tcPr>
          <w:p>
            <w:pPr>
              <w:pStyle w:val="TableContents"/>
              <w:bidi w:val="0"/>
              <w:spacing w:before="0" w:after="283"/>
              <w:jc w:val="left"/>
              <w:rPr/>
            </w:pPr>
            <w:r>
              <w:rPr/>
              <w:t>Co-Registrant Written Communications</w:t>
            </w:r>
          </w:p>
        </w:tc>
        <w:tc>
          <w:tcPr>
            <w:tcW w:w="1235" w:type="dxa"/>
            <w:tcBorders/>
            <w:vAlign w:val="center"/>
          </w:tcPr>
          <w:p>
            <w:pPr>
              <w:pStyle w:val="TableContents"/>
              <w:bidi w:val="0"/>
              <w:spacing w:before="0" w:after="283"/>
              <w:jc w:val="left"/>
              <w:rPr/>
            </w:pPr>
            <w:bookmarkStart w:id="52" w:name="xdx_905_edei--WrittenCommunications_dxL_"/>
            <w:bookmarkEnd w:id="52"/>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1235" w:type="dxa"/>
            <w:tcBorders/>
            <w:vAlign w:val="center"/>
          </w:tcPr>
          <w:p>
            <w:pPr>
              <w:pStyle w:val="TableContents"/>
              <w:bidi w:val="0"/>
              <w:spacing w:before="0" w:after="283"/>
              <w:jc w:val="left"/>
              <w:rPr/>
            </w:pPr>
            <w:bookmarkStart w:id="53" w:name="xdx_90E_edei--SolicitingMaterial_dxL_c20"/>
            <w:bookmarkEnd w:id="53"/>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1235" w:type="dxa"/>
            <w:tcBorders/>
            <w:vAlign w:val="center"/>
          </w:tcPr>
          <w:p>
            <w:pPr>
              <w:pStyle w:val="TableContents"/>
              <w:bidi w:val="0"/>
              <w:spacing w:before="0" w:after="283"/>
              <w:jc w:val="left"/>
              <w:rPr/>
            </w:pPr>
            <w:bookmarkStart w:id="54" w:name="xdx_902_edei--PreCommencementTenderOffer"/>
            <w:bookmarkEnd w:id="54"/>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1235" w:type="dxa"/>
            <w:tcBorders/>
            <w:vAlign w:val="center"/>
          </w:tcPr>
          <w:p>
            <w:pPr>
              <w:pStyle w:val="TableContents"/>
              <w:bidi w:val="0"/>
              <w:spacing w:before="0" w:after="283"/>
              <w:jc w:val="left"/>
              <w:rPr/>
            </w:pPr>
            <w:bookmarkStart w:id="55" w:name="xdx_90F_edei--PreCommencementIssuerTende"/>
            <w:bookmarkEnd w:id="55"/>
            <w:r>
              <w:rPr/>
              <w:t>false</w:t>
            </w:r>
          </w:p>
        </w:tc>
      </w:tr>
      <w:tr>
        <w:trPr/>
        <w:tc>
          <w:tcPr>
            <w:tcW w:w="5195" w:type="dxa"/>
            <w:tcBorders/>
            <w:vAlign w:val="center"/>
          </w:tcPr>
          <w:p>
            <w:pPr>
              <w:pStyle w:val="TableContents"/>
              <w:bidi w:val="0"/>
              <w:spacing w:before="0" w:after="283"/>
              <w:jc w:val="left"/>
              <w:rPr/>
            </w:pPr>
            <w:r>
              <w:rPr/>
              <w:t>Co-Registrant Emerging growth company</w:t>
            </w:r>
          </w:p>
        </w:tc>
        <w:tc>
          <w:tcPr>
            <w:tcW w:w="1235" w:type="dxa"/>
            <w:tcBorders/>
            <w:vAlign w:val="center"/>
          </w:tcPr>
          <w:p>
            <w:pPr>
              <w:pStyle w:val="TableContents"/>
              <w:bidi w:val="0"/>
              <w:spacing w:before="0" w:after="283"/>
              <w:jc w:val="left"/>
              <w:rPr/>
            </w:pPr>
            <w:bookmarkStart w:id="56" w:name="xdx_902_edei--EntityEmergingGrowthCompan"/>
            <w:bookmarkEnd w:id="56"/>
            <w:r>
              <w:rPr/>
              <w:t>false</w:t>
            </w:r>
          </w:p>
        </w:tc>
      </w:tr>
      <w:tr>
        <w:trPr/>
        <w:tc>
          <w:tcPr>
            <w:tcW w:w="519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Co-Registrant CIK</w:t>
            </w:r>
          </w:p>
        </w:tc>
        <w:tc>
          <w:tcPr>
            <w:tcW w:w="1235" w:type="dxa"/>
            <w:tcBorders/>
            <w:vAlign w:val="center"/>
          </w:tcPr>
          <w:p>
            <w:pPr>
              <w:pStyle w:val="TableContents"/>
              <w:bidi w:val="0"/>
              <w:spacing w:before="0" w:after="283"/>
              <w:jc w:val="left"/>
              <w:rPr/>
            </w:pPr>
            <w:bookmarkStart w:id="57" w:name="xdx_905_edei--EntityCentralIndexKey_dxL_"/>
            <w:bookmarkEnd w:id="57"/>
            <w:r>
              <w:rPr/>
              <w:t>0001042773</w:t>
            </w:r>
          </w:p>
        </w:tc>
      </w:tr>
      <w:tr>
        <w:trPr/>
        <w:tc>
          <w:tcPr>
            <w:tcW w:w="5195" w:type="dxa"/>
            <w:tcBorders/>
            <w:vAlign w:val="center"/>
          </w:tcPr>
          <w:p>
            <w:pPr>
              <w:pStyle w:val="TableContents"/>
              <w:bidi w:val="0"/>
              <w:spacing w:before="0" w:after="283"/>
              <w:jc w:val="left"/>
              <w:rPr/>
            </w:pPr>
            <w:r>
              <w:rPr/>
              <w:t>Co-Registrant Amendment Flag</w:t>
            </w:r>
          </w:p>
        </w:tc>
        <w:tc>
          <w:tcPr>
            <w:tcW w:w="1235" w:type="dxa"/>
            <w:tcBorders/>
            <w:vAlign w:val="center"/>
          </w:tcPr>
          <w:p>
            <w:pPr>
              <w:pStyle w:val="TableContents"/>
              <w:bidi w:val="0"/>
              <w:spacing w:before="0" w:after="283"/>
              <w:jc w:val="left"/>
              <w:rPr/>
            </w:pPr>
            <w:bookmarkStart w:id="58" w:name="xdx_900_edei--AmendmentFlag_dxL_c2026091"/>
            <w:bookmarkEnd w:id="58"/>
            <w:r>
              <w:rPr/>
              <w:t>false</w:t>
            </w:r>
          </w:p>
        </w:tc>
      </w:tr>
      <w:tr>
        <w:trPr/>
        <w:tc>
          <w:tcPr>
            <w:tcW w:w="5195" w:type="dxa"/>
            <w:tcBorders/>
            <w:vAlign w:val="center"/>
          </w:tcPr>
          <w:p>
            <w:pPr>
              <w:pStyle w:val="TableContents"/>
              <w:bidi w:val="0"/>
              <w:spacing w:before="0" w:after="283"/>
              <w:jc w:val="left"/>
              <w:rPr/>
            </w:pPr>
            <w:r>
              <w:rPr/>
              <w:t>Co-Registrant Form Type</w:t>
            </w:r>
          </w:p>
        </w:tc>
        <w:tc>
          <w:tcPr>
            <w:tcW w:w="1235" w:type="dxa"/>
            <w:tcBorders/>
            <w:vAlign w:val="center"/>
          </w:tcPr>
          <w:p>
            <w:pPr>
              <w:pStyle w:val="TableContents"/>
              <w:bidi w:val="0"/>
              <w:spacing w:before="0" w:after="283"/>
              <w:jc w:val="left"/>
              <w:rPr/>
            </w:pPr>
            <w:bookmarkStart w:id="59" w:name="xdx_901_edei--DocumentType_dxL_c20260914"/>
            <w:bookmarkEnd w:id="59"/>
            <w:r>
              <w:rPr/>
              <w:t>8-K</w:t>
            </w:r>
          </w:p>
        </w:tc>
      </w:tr>
      <w:tr>
        <w:trPr/>
        <w:tc>
          <w:tcPr>
            <w:tcW w:w="5195" w:type="dxa"/>
            <w:tcBorders/>
            <w:vAlign w:val="center"/>
          </w:tcPr>
          <w:p>
            <w:pPr>
              <w:pStyle w:val="TableContents"/>
              <w:bidi w:val="0"/>
              <w:spacing w:before="0" w:after="283"/>
              <w:jc w:val="left"/>
              <w:rPr/>
            </w:pPr>
            <w:r>
              <w:rPr/>
              <w:t>Co-Registrant DocumentPeriodEndDate</w:t>
            </w:r>
          </w:p>
        </w:tc>
        <w:tc>
          <w:tcPr>
            <w:tcW w:w="1235" w:type="dxa"/>
            <w:tcBorders/>
            <w:vAlign w:val="center"/>
          </w:tcPr>
          <w:p>
            <w:pPr>
              <w:pStyle w:val="TableContents"/>
              <w:bidi w:val="0"/>
              <w:spacing w:before="0" w:after="283"/>
              <w:jc w:val="left"/>
              <w:rPr/>
            </w:pPr>
            <w:bookmarkStart w:id="60" w:name="xdx_90E_edei--DocumentPeriodEndDate_dxL_"/>
            <w:bookmarkEnd w:id="60"/>
            <w:r>
              <w:rPr/>
              <w:t>2026-09-14</w:t>
            </w:r>
          </w:p>
        </w:tc>
      </w:tr>
      <w:tr>
        <w:trPr/>
        <w:tc>
          <w:tcPr>
            <w:tcW w:w="5195" w:type="dxa"/>
            <w:tcBorders/>
            <w:vAlign w:val="center"/>
          </w:tcPr>
          <w:p>
            <w:pPr>
              <w:pStyle w:val="TableContents"/>
              <w:bidi w:val="0"/>
              <w:spacing w:before="0" w:after="283"/>
              <w:jc w:val="left"/>
              <w:rPr/>
            </w:pPr>
            <w:r>
              <w:rPr/>
              <w:t>Co-Registrant Written Communications</w:t>
            </w:r>
          </w:p>
        </w:tc>
        <w:tc>
          <w:tcPr>
            <w:tcW w:w="1235" w:type="dxa"/>
            <w:tcBorders/>
            <w:vAlign w:val="center"/>
          </w:tcPr>
          <w:p>
            <w:pPr>
              <w:pStyle w:val="TableContents"/>
              <w:bidi w:val="0"/>
              <w:spacing w:before="0" w:after="283"/>
              <w:jc w:val="left"/>
              <w:rPr/>
            </w:pPr>
            <w:bookmarkStart w:id="61" w:name="xdx_907_edei--WrittenCommunications_dxL_"/>
            <w:bookmarkEnd w:id="61"/>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1235" w:type="dxa"/>
            <w:tcBorders/>
            <w:vAlign w:val="center"/>
          </w:tcPr>
          <w:p>
            <w:pPr>
              <w:pStyle w:val="TableContents"/>
              <w:bidi w:val="0"/>
              <w:spacing w:before="0" w:after="283"/>
              <w:jc w:val="left"/>
              <w:rPr/>
            </w:pPr>
            <w:bookmarkStart w:id="62" w:name="xdx_904_edei--SolicitingMaterial_dxL_c20"/>
            <w:bookmarkEnd w:id="62"/>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1235" w:type="dxa"/>
            <w:tcBorders/>
            <w:vAlign w:val="center"/>
          </w:tcPr>
          <w:p>
            <w:pPr>
              <w:pStyle w:val="TableContents"/>
              <w:bidi w:val="0"/>
              <w:spacing w:before="0" w:after="283"/>
              <w:jc w:val="left"/>
              <w:rPr/>
            </w:pPr>
            <w:bookmarkStart w:id="63" w:name="xdx_907_edei--PreCommencementTenderOffer"/>
            <w:bookmarkEnd w:id="63"/>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1235" w:type="dxa"/>
            <w:tcBorders/>
            <w:vAlign w:val="center"/>
          </w:tcPr>
          <w:p>
            <w:pPr>
              <w:pStyle w:val="TableContents"/>
              <w:bidi w:val="0"/>
              <w:spacing w:before="0" w:after="283"/>
              <w:jc w:val="left"/>
              <w:rPr/>
            </w:pPr>
            <w:bookmarkStart w:id="64" w:name="xdx_90A_edei--PreCommencementIssuerTende"/>
            <w:bookmarkEnd w:id="64"/>
            <w:r>
              <w:rPr/>
              <w:t>false</w:t>
            </w:r>
          </w:p>
        </w:tc>
      </w:tr>
      <w:tr>
        <w:trPr/>
        <w:tc>
          <w:tcPr>
            <w:tcW w:w="5195" w:type="dxa"/>
            <w:tcBorders/>
            <w:vAlign w:val="center"/>
          </w:tcPr>
          <w:p>
            <w:pPr>
              <w:pStyle w:val="TableContents"/>
              <w:bidi w:val="0"/>
              <w:spacing w:before="0" w:after="283"/>
              <w:jc w:val="left"/>
              <w:rPr/>
            </w:pPr>
            <w:r>
              <w:rPr/>
              <w:t>Co-Registrant Emerging growth company</w:t>
            </w:r>
          </w:p>
        </w:tc>
        <w:tc>
          <w:tcPr>
            <w:tcW w:w="1235" w:type="dxa"/>
            <w:tcBorders/>
            <w:vAlign w:val="center"/>
          </w:tcPr>
          <w:p>
            <w:pPr>
              <w:pStyle w:val="TableContents"/>
              <w:bidi w:val="0"/>
              <w:spacing w:before="0" w:after="283"/>
              <w:jc w:val="left"/>
              <w:rPr/>
            </w:pPr>
            <w:bookmarkStart w:id="65" w:name="xdx_903_edei--EntityEmergingGrowthCompan"/>
            <w:bookmarkEnd w:id="65"/>
            <w:r>
              <w:rPr/>
              <w:t>false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2026, CenterPoint Energy, Inc. (the “Company”) became aware of an online post by a third party claiming to have obtained a data set containing certain of the Company’s customer information. Upon becoming aware of the post, the Company promptly took action and activated its cybersecurity incident response protocols, initiated an investigation with the assistance of third-party cybersecurity experts, and took steps to further protect the Company’s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delivery of electric and gas services has not been impacted and remains operational and undisrupted. As of the date of this filing, the Company does not believe it is reasonably likely that there will be a material impact on the Company’s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investigation remains ongoing, the Company has determined that an unauthorized third party obtained personal information relating to a portion of the Company’s customers through one of the Company’s external facing systems (the “Incident”). The Company is continuing to work with third-party experts to determine the scope of customers and personal information affected by the Incident and intends to notify affected customers and regulatory authorities as required by applicable law. The Company reported the matter to law enforcement authorities and has notified certain regulatory authorities of the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and expects to continue to incur, certain expenses related to the Incident and its response to the Incident. The Company maintains customary cybersecurity insurance coverage and believes this insurance will offset 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(the “Current Report”) may contain “forward-looking statements” within the meaning of Section 27A of the Securities Act and Section 21E of the Exchange Act. All statements other than statements of historical fact included in this Current Report are forward-looking statements made in good faith by us and are intended to qualify for the safe harbor from liability established by the Private Securities Litigation Reform Act of 1995. When used in this Current Report, the words “continue,” “may,” “potential,” “will” or other similar words are intended to identify forward-looking statements. These forward-looking statements are based upon assumptions of management which are believed to be reasonable at the time made and are subject to significant risks and uncertainties. Actual events and results may differ materially from those expressed or implied by these forward-looking statements. The Company assumes no obligation and does not intend to update or revise these forward-looking statements, whether as a result of new information, future events or otherwise, except as required by securities and other applicable laws. Forward-looking statements include, but are not limited to, our expectations regarding any impact on the Company’s financial condition or results of operations, the timing and nature of expenses in connection with the Incident, availability of insurance and potential impact on customers and the Company. Each forward-looking statement contained in this Current Report speaks only as of the date of this report. Important factors that could cause actual results to differ materially from those indicated by the provided forward-looking information include risks and uncertainties relating to (1) the timing and nature of any remediation expenses incurred in connection with the Incident, (2) the availability of cybersecurity insurance proceeds, (3) the extent of regulatory compliance obligations, (4) the risk that the scope of the Incident is greater than initially expected and (5) other factors discussed in the Company’s Annual Report on Form 10-K for the fiscal year ended December 31, 2025, the Company’s Quarterly Reports on Form 10-Q for the quarters ended March 31, 2026 and June 30, 2026 and other reports the Company may file from time to time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5"/>
        <w:gridCol w:w="60"/>
        <w:gridCol w:w="8760"/>
      </w:tblGrid>
      <w:tr>
        <w:trPr/>
        <w:tc>
          <w:tcPr>
            <w:tcW w:w="138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Exhibit Number</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Description</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135"/>
        <w:gridCol w:w="320"/>
        <w:gridCol w:w="4670"/>
      </w:tblGrid>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CENTERPOINT ENERGY, INC.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70" w:type="dxa"/>
            <w:tcBorders>
              <w:bottom w:val="single" w:sz="8" w:space="0" w:color="000000"/>
            </w:tcBorders>
            <w:tcMar>
              <w:bottom w:w="28" w:type="dxa"/>
            </w:tcMar>
            <w:vAlign w:val="center"/>
          </w:tcPr>
          <w:p>
            <w:pPr>
              <w:pStyle w:val="TableContents"/>
              <w:bidi w:val="0"/>
              <w:spacing w:before="0" w:after="283"/>
              <w:jc w:val="left"/>
              <w:rPr/>
            </w:pPr>
            <w:r>
              <w:rPr/>
              <w:t>/s/ Russell K. Wright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CENTERPOINT ENERGY HOUSTON ELECTRIC, LLC.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70" w:type="dxa"/>
            <w:tcBorders>
              <w:bottom w:val="single" w:sz="8" w:space="0" w:color="000000"/>
            </w:tcBorders>
            <w:tcMar>
              <w:bottom w:w="28" w:type="dxa"/>
            </w:tcMar>
            <w:vAlign w:val="center"/>
          </w:tcPr>
          <w:p>
            <w:pPr>
              <w:pStyle w:val="TableContents"/>
              <w:bidi w:val="0"/>
              <w:spacing w:before="0" w:after="283"/>
              <w:jc w:val="left"/>
              <w:rPr/>
            </w:pPr>
            <w:r>
              <w:rPr/>
              <w:t>/s/ Russell K. Wright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CENTERPOINT ENERGY RESOURCES CORP.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70" w:type="dxa"/>
            <w:tcBorders>
              <w:bottom w:val="single" w:sz="8" w:space="0" w:color="000000"/>
            </w:tcBorders>
            <w:tcMar>
              <w:bottom w:w="28" w:type="dxa"/>
            </w:tcMar>
            <w:vAlign w:val="center"/>
          </w:tcPr>
          <w:p>
            <w:pPr>
              <w:pStyle w:val="TableContents"/>
              <w:bidi w:val="0"/>
              <w:spacing w:before="0" w:after="283"/>
              <w:jc w:val="left"/>
              <w:rPr/>
            </w:pPr>
            <w:r>
              <w:rPr/>
              <w:t>/s/ Russell K. Wright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1167</Words>
  <Characters>6864</Characters>
  <CharactersWithSpaces>8026</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